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C9FD8" w14:textId="3C31E44B" w:rsidR="004C2C45" w:rsidRPr="00B306F1" w:rsidRDefault="001C0526" w:rsidP="004C2C45">
      <w:pPr>
        <w:spacing w:after="0" w:line="360" w:lineRule="auto"/>
        <w:rPr>
          <w:rStyle w:val="Strong"/>
          <w:rFonts w:ascii="Adobe Devanagari" w:hAnsi="Adobe Devanagari" w:cs="Adobe Devanagari"/>
          <w:sz w:val="24"/>
          <w:szCs w:val="24"/>
          <w:bdr w:val="none" w:sz="0" w:space="0" w:color="auto" w:frame="1"/>
        </w:rPr>
      </w:pPr>
      <w:r w:rsidRPr="00B306F1">
        <w:rPr>
          <w:rFonts w:ascii="Adobe Devanagari" w:eastAsia="Times New Roman" w:hAnsi="Adobe Devanagari" w:cs="Adobe Devanagari"/>
          <w:b/>
          <w:bCs/>
          <w:noProof/>
          <w:sz w:val="24"/>
          <w:szCs w:val="24"/>
        </w:rPr>
        <mc:AlternateContent>
          <mc:Choice Requires="wps">
            <w:drawing>
              <wp:anchor distT="0" distB="0" distL="114300" distR="114300" simplePos="0" relativeHeight="251659264" behindDoc="1" locked="0" layoutInCell="1" allowOverlap="1" wp14:anchorId="792E6894" wp14:editId="5FA88022">
                <wp:simplePos x="0" y="0"/>
                <wp:positionH relativeFrom="margin">
                  <wp:posOffset>3019425</wp:posOffset>
                </wp:positionH>
                <wp:positionV relativeFrom="paragraph">
                  <wp:posOffset>676275</wp:posOffset>
                </wp:positionV>
                <wp:extent cx="3629025" cy="2314575"/>
                <wp:effectExtent l="0" t="0" r="28575" b="28575"/>
                <wp:wrapSquare wrapText="bothSides"/>
                <wp:docPr id="1" name="Rectangle: Rounded Corners 1"/>
                <wp:cNvGraphicFramePr/>
                <a:graphic xmlns:a="http://schemas.openxmlformats.org/drawingml/2006/main">
                  <a:graphicData uri="http://schemas.microsoft.com/office/word/2010/wordprocessingShape">
                    <wps:wsp>
                      <wps:cNvSpPr/>
                      <wps:spPr>
                        <a:xfrm>
                          <a:off x="0" y="0"/>
                          <a:ext cx="3629025" cy="23145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7ACDC6" w14:textId="208FA2F0" w:rsidR="00E84129" w:rsidRPr="004C2C45" w:rsidRDefault="00E84129" w:rsidP="00E84129">
                            <w:pPr>
                              <w:jc w:val="center"/>
                              <w:rPr>
                                <w:rFonts w:ascii="Adobe Devanagari" w:hAnsi="Adobe Devanagari" w:cs="Adobe Devanagari"/>
                              </w:rPr>
                            </w:pPr>
                            <w:r w:rsidRPr="004C2C45">
                              <w:rPr>
                                <w:rFonts w:ascii="Adobe Devanagari" w:eastAsia="Times New Roman" w:hAnsi="Adobe Devanagari" w:cs="Adobe Devanagari"/>
                                <w:sz w:val="24"/>
                                <w:szCs w:val="24"/>
                              </w:rPr>
                              <w:t>Ideal Learning Environments encourage a holistic approach to education whose principles are focused on children’s construction of their own learning, play, the teacher as a guide, relationships, personalized instruction, environment as facilitators of exploration, freedom, and children-led learning.</w:t>
                            </w:r>
                            <w:r w:rsidR="004C2C45">
                              <w:rPr>
                                <w:rFonts w:ascii="Adobe Devanagari" w:eastAsia="Times New Roman" w:hAnsi="Adobe Devanagari" w:cs="Adobe Devanagari"/>
                                <w:sz w:val="24"/>
                                <w:szCs w:val="24"/>
                              </w:rPr>
                              <w:t xml:space="preserve"> (Trust for Learning, </w:t>
                            </w:r>
                            <w:proofErr w:type="spellStart"/>
                            <w:r w:rsidR="004C2C45">
                              <w:rPr>
                                <w:rFonts w:ascii="Adobe Devanagari" w:eastAsia="Times New Roman" w:hAnsi="Adobe Devanagari" w:cs="Adobe Devanagari"/>
                                <w:sz w:val="24"/>
                                <w:szCs w:val="24"/>
                              </w:rPr>
                              <w:t>n.d</w:t>
                            </w:r>
                            <w:proofErr w:type="spellEnd"/>
                            <w:r w:rsidR="004C2C45">
                              <w:rPr>
                                <w:rFonts w:ascii="Adobe Devanagari" w:eastAsia="Times New Roman" w:hAnsi="Adobe Devanagari" w:cs="Adobe Devanagari"/>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2E6894" id="Rectangle: Rounded Corners 1" o:spid="_x0000_s1026" style="position:absolute;margin-left:237.75pt;margin-top:53.25pt;width:285.75pt;height:182.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" fillcolor="#4472c4 [3204]" strokecolor="#1f3763 [1604]" strokeweight="1pt">
                <v:stroke joinstyle="miter"/>
                <v:textbox>
                  <w:txbxContent>
                    <w:p w14:paraId="5D7ACDC6" w14:textId="208FA2F0" w:rsidR="00E84129" w:rsidRPr="004C2C45" w:rsidRDefault="00E84129" w:rsidP="00E84129">
                      <w:pPr>
                        <w:jc w:val="center"/>
                        <w:rPr>
                          <w:rFonts w:ascii="Adobe Devanagari" w:hAnsi="Adobe Devanagari" w:cs="Adobe Devanagari"/>
                        </w:rPr>
                      </w:pPr>
                      <w:r w:rsidRPr="004C2C45">
                        <w:rPr>
                          <w:rFonts w:ascii="Adobe Devanagari" w:eastAsia="Times New Roman" w:hAnsi="Adobe Devanagari" w:cs="Adobe Devanagari"/>
                          <w:sz w:val="24"/>
                          <w:szCs w:val="24"/>
                        </w:rPr>
                        <w:t>Ideal Learning Environments encourage a holistic approach to education whose principles are focused on children’s construction of their own learning, play, the teacher as a guide, relationships, personalized instruction, environment as facilitators of exploration, freedom, and children-led learning.</w:t>
                      </w:r>
                      <w:r w:rsidR="004C2C45">
                        <w:rPr>
                          <w:rFonts w:ascii="Adobe Devanagari" w:eastAsia="Times New Roman" w:hAnsi="Adobe Devanagari" w:cs="Adobe Devanagari"/>
                          <w:sz w:val="24"/>
                          <w:szCs w:val="24"/>
                        </w:rPr>
                        <w:t xml:space="preserve"> (Trust for Learning, </w:t>
                      </w:r>
                      <w:proofErr w:type="spellStart"/>
                      <w:r w:rsidR="004C2C45">
                        <w:rPr>
                          <w:rFonts w:ascii="Adobe Devanagari" w:eastAsia="Times New Roman" w:hAnsi="Adobe Devanagari" w:cs="Adobe Devanagari"/>
                          <w:sz w:val="24"/>
                          <w:szCs w:val="24"/>
                        </w:rPr>
                        <w:t>n.d</w:t>
                      </w:r>
                      <w:proofErr w:type="spellEnd"/>
                      <w:r w:rsidR="004C2C45">
                        <w:rPr>
                          <w:rFonts w:ascii="Adobe Devanagari" w:eastAsia="Times New Roman" w:hAnsi="Adobe Devanagari" w:cs="Adobe Devanagari"/>
                          <w:sz w:val="24"/>
                          <w:szCs w:val="24"/>
                        </w:rPr>
                        <w:t>)</w:t>
                      </w:r>
                    </w:p>
                  </w:txbxContent>
                </v:textbox>
                <w10:wrap type="square" anchorx="margin"/>
              </v:roundrect>
            </w:pict>
          </mc:Fallback>
        </mc:AlternateContent>
      </w:r>
      <w:r w:rsidR="00E84129" w:rsidRPr="00B306F1">
        <w:rPr>
          <w:rFonts w:ascii="Adobe Devanagari" w:hAnsi="Adobe Devanagari" w:cs="Adobe Devanagari"/>
          <w:b/>
          <w:bCs/>
          <w:noProof/>
          <w:sz w:val="24"/>
          <w:szCs w:val="24"/>
        </w:rPr>
        <mc:AlternateContent>
          <mc:Choice Requires="wps">
            <w:drawing>
              <wp:anchor distT="0" distB="0" distL="114300" distR="114300" simplePos="0" relativeHeight="251661312" behindDoc="0" locked="0" layoutInCell="1" allowOverlap="1" wp14:anchorId="2FEB0740" wp14:editId="03FEEE4F">
                <wp:simplePos x="0" y="0"/>
                <wp:positionH relativeFrom="page">
                  <wp:posOffset>1095375</wp:posOffset>
                </wp:positionH>
                <wp:positionV relativeFrom="paragraph">
                  <wp:posOffset>190500</wp:posOffset>
                </wp:positionV>
                <wp:extent cx="6610350" cy="466725"/>
                <wp:effectExtent l="0" t="0" r="0" b="9525"/>
                <wp:wrapSquare wrapText="bothSides"/>
                <wp:docPr id="2" name="Text Box 2"/>
                <wp:cNvGraphicFramePr/>
                <a:graphic xmlns:a="http://schemas.openxmlformats.org/drawingml/2006/main">
                  <a:graphicData uri="http://schemas.microsoft.com/office/word/2010/wordprocessingShape">
                    <wps:wsp>
                      <wps:cNvSpPr txBox="1"/>
                      <wps:spPr>
                        <a:xfrm>
                          <a:off x="0" y="0"/>
                          <a:ext cx="6610350" cy="466725"/>
                        </a:xfrm>
                        <a:prstGeom prst="rect">
                          <a:avLst/>
                        </a:prstGeom>
                        <a:noFill/>
                        <a:ln>
                          <a:noFill/>
                        </a:ln>
                      </wps:spPr>
                      <wps:txbx>
                        <w:txbxContent>
                          <w:p w14:paraId="1D56164F" w14:textId="197B8872" w:rsidR="00E84129" w:rsidRPr="00E84129" w:rsidRDefault="00E84129" w:rsidP="00E84129">
                            <w:pPr>
                              <w:spacing w:after="0" w:line="480" w:lineRule="auto"/>
                              <w:jc w:val="right"/>
                              <w:rPr>
                                <w:rFonts w:ascii="Times New Roman" w:eastAsia="Times New Roman" w:hAnsi="Times New Roman" w:cs="Times New Roman"/>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84129">
                              <w:rPr>
                                <w:rFonts w:ascii="Times New Roman" w:eastAsia="Times New Roman" w:hAnsi="Times New Roman" w:cs="Times New Roman"/>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What are Ideal Learning Environments?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EB0740" id="_x0000_t202" coordsize="21600,21600" o:spt="202" path="m,l,21600r21600,l21600,xe">
                <v:stroke joinstyle="miter"/>
                <v:path gradientshapeok="t" o:connecttype="rect"/>
              </v:shapetype>
              <v:shape id="Text Box 2" o:spid="_x0000_s1027" type="#_x0000_t202" style="position:absolute;margin-left:86.25pt;margin-top:15pt;width:520.5pt;height:36.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" filled="f" stroked="f">
                <v:fill o:detectmouseclick="t"/>
                <v:textbox>
                  <w:txbxContent>
                    <w:p w14:paraId="1D56164F" w14:textId="197B8872" w:rsidR="00E84129" w:rsidRPr="00E84129" w:rsidRDefault="00E84129" w:rsidP="00E84129">
                      <w:pPr>
                        <w:spacing w:after="0" w:line="480" w:lineRule="auto"/>
                        <w:jc w:val="right"/>
                        <w:rPr>
                          <w:rFonts w:ascii="Times New Roman" w:eastAsia="Times New Roman" w:hAnsi="Times New Roman" w:cs="Times New Roman"/>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84129">
                        <w:rPr>
                          <w:rFonts w:ascii="Times New Roman" w:eastAsia="Times New Roman" w:hAnsi="Times New Roman" w:cs="Times New Roman"/>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What are Ideal Learning Environments?</w:t>
                      </w:r>
                    </w:p>
                  </w:txbxContent>
                </v:textbox>
                <w10:wrap type="square" anchorx="page"/>
              </v:shape>
            </w:pict>
          </mc:Fallback>
        </mc:AlternateContent>
      </w:r>
      <w:r w:rsidR="004C2C45" w:rsidRPr="00B306F1">
        <w:rPr>
          <w:rFonts w:ascii="Adobe Devanagari" w:eastAsia="Times New Roman" w:hAnsi="Adobe Devanagari" w:cs="Adobe Devanagari"/>
          <w:b/>
          <w:bCs/>
          <w:sz w:val="24"/>
          <w:szCs w:val="24"/>
        </w:rPr>
        <w:t>Project:</w:t>
      </w:r>
      <w:r w:rsidR="004C2C45" w:rsidRPr="00B306F1">
        <w:rPr>
          <w:rFonts w:ascii="Adobe Devanagari" w:eastAsia="Times New Roman" w:hAnsi="Adobe Devanagari" w:cs="Adobe Devanagari"/>
          <w:sz w:val="24"/>
          <w:szCs w:val="24"/>
        </w:rPr>
        <w:t xml:space="preserve"> </w:t>
      </w:r>
      <w:r w:rsidR="004C2C45" w:rsidRPr="00B306F1">
        <w:rPr>
          <w:rStyle w:val="Strong"/>
          <w:rFonts w:ascii="Adobe Devanagari" w:hAnsi="Adobe Devanagari" w:cs="Adobe Devanagari"/>
          <w:b w:val="0"/>
          <w:bCs w:val="0"/>
          <w:sz w:val="24"/>
          <w:szCs w:val="24"/>
          <w:bdr w:val="none" w:sz="0" w:space="0" w:color="auto" w:frame="1"/>
        </w:rPr>
        <w:t>Ideal Learning Head Start Expansion</w:t>
      </w:r>
      <w:r w:rsidR="004C2C45" w:rsidRPr="00B306F1">
        <w:rPr>
          <w:rStyle w:val="Strong"/>
          <w:rFonts w:ascii="Adobe Devanagari" w:hAnsi="Adobe Devanagari" w:cs="Adobe Devanagari"/>
          <w:b w:val="0"/>
          <w:bCs w:val="0"/>
          <w:sz w:val="24"/>
          <w:szCs w:val="24"/>
          <w:bdr w:val="none" w:sz="0" w:space="0" w:color="auto" w:frame="1"/>
        </w:rPr>
        <w:t>.</w:t>
      </w:r>
    </w:p>
    <w:p w14:paraId="021D07CD" w14:textId="0973D7FE" w:rsidR="004C2C45" w:rsidRPr="00B306F1" w:rsidRDefault="004C2C45" w:rsidP="004C2C45">
      <w:pPr>
        <w:spacing w:after="0" w:line="360" w:lineRule="auto"/>
        <w:rPr>
          <w:rStyle w:val="Strong"/>
          <w:rFonts w:ascii="Adobe Devanagari" w:hAnsi="Adobe Devanagari" w:cs="Adobe Devanagari"/>
          <w:b w:val="0"/>
          <w:bCs w:val="0"/>
          <w:sz w:val="24"/>
          <w:szCs w:val="24"/>
          <w:bdr w:val="none" w:sz="0" w:space="0" w:color="auto" w:frame="1"/>
        </w:rPr>
      </w:pPr>
      <w:r w:rsidRPr="00B306F1">
        <w:rPr>
          <w:rStyle w:val="Strong"/>
          <w:rFonts w:ascii="Adobe Devanagari" w:hAnsi="Adobe Devanagari" w:cs="Adobe Devanagari"/>
          <w:sz w:val="24"/>
          <w:szCs w:val="24"/>
          <w:bdr w:val="none" w:sz="0" w:space="0" w:color="auto" w:frame="1"/>
        </w:rPr>
        <w:t xml:space="preserve">Funder: </w:t>
      </w:r>
      <w:r w:rsidRPr="00B306F1">
        <w:rPr>
          <w:rStyle w:val="Strong"/>
          <w:rFonts w:ascii="Adobe Devanagari" w:hAnsi="Adobe Devanagari" w:cs="Adobe Devanagari"/>
          <w:b w:val="0"/>
          <w:bCs w:val="0"/>
          <w:sz w:val="24"/>
          <w:szCs w:val="24"/>
          <w:bdr w:val="none" w:sz="0" w:space="0" w:color="auto" w:frame="1"/>
        </w:rPr>
        <w:t>Trust for Learning</w:t>
      </w:r>
    </w:p>
    <w:p w14:paraId="0C68F1BE" w14:textId="762C8B0D" w:rsidR="004C2C45" w:rsidRPr="00B306F1" w:rsidRDefault="004C2C45" w:rsidP="004C2C45">
      <w:pPr>
        <w:spacing w:after="0" w:line="360" w:lineRule="auto"/>
        <w:rPr>
          <w:rFonts w:ascii="Adobe Devanagari" w:eastAsia="Times New Roman" w:hAnsi="Adobe Devanagari" w:cs="Adobe Devanagari"/>
          <w:b/>
          <w:bCs/>
          <w:sz w:val="24"/>
          <w:szCs w:val="24"/>
        </w:rPr>
      </w:pPr>
      <w:r w:rsidRPr="00B306F1">
        <w:rPr>
          <w:rStyle w:val="Strong"/>
          <w:rFonts w:ascii="Adobe Devanagari" w:hAnsi="Adobe Devanagari" w:cs="Adobe Devanagari"/>
          <w:sz w:val="24"/>
          <w:szCs w:val="24"/>
          <w:bdr w:val="none" w:sz="0" w:space="0" w:color="auto" w:frame="1"/>
        </w:rPr>
        <w:t xml:space="preserve">SREE Fellow: </w:t>
      </w:r>
      <w:r w:rsidRPr="00B306F1">
        <w:rPr>
          <w:rStyle w:val="Strong"/>
          <w:rFonts w:ascii="Adobe Devanagari" w:hAnsi="Adobe Devanagari" w:cs="Adobe Devanagari"/>
          <w:b w:val="0"/>
          <w:bCs w:val="0"/>
          <w:sz w:val="24"/>
          <w:szCs w:val="24"/>
          <w:bdr w:val="none" w:sz="0" w:space="0" w:color="auto" w:frame="1"/>
        </w:rPr>
        <w:t xml:space="preserve">Yohimar Sivira-Gonzalez, University of Louisville. </w:t>
      </w:r>
    </w:p>
    <w:p w14:paraId="0ABEBB71" w14:textId="379AE98E" w:rsidR="004C2C45" w:rsidRPr="0031747A" w:rsidRDefault="004C2C45" w:rsidP="00E84129">
      <w:pPr>
        <w:spacing w:after="0" w:line="480" w:lineRule="auto"/>
        <w:rPr>
          <w:rFonts w:ascii="Times New Roman" w:eastAsia="Times New Roman" w:hAnsi="Times New Roman" w:cs="Times New Roman"/>
          <w:i/>
          <w:iCs/>
          <w:color w:val="000000"/>
          <w:sz w:val="24"/>
          <w:szCs w:val="24"/>
        </w:rPr>
      </w:pPr>
    </w:p>
    <w:p w14:paraId="4CFEB471" w14:textId="690AB75D" w:rsidR="004C2C45" w:rsidRPr="0031747A" w:rsidRDefault="001C0526" w:rsidP="0031747A">
      <w:pPr>
        <w:spacing w:after="0" w:line="240" w:lineRule="auto"/>
        <w:rPr>
          <w:rFonts w:ascii="Adobe Devanagari" w:eastAsia="Times New Roman" w:hAnsi="Adobe Devanagari" w:cs="Adobe Devanagari"/>
          <w:b/>
          <w:bCs/>
          <w:i/>
          <w:iCs/>
          <w:color w:val="000000"/>
          <w:sz w:val="24"/>
          <w:szCs w:val="24"/>
        </w:rPr>
      </w:pPr>
      <w:r w:rsidRPr="0031747A">
        <w:rPr>
          <w:rFonts w:ascii="Adobe Devanagari" w:eastAsia="Times New Roman" w:hAnsi="Adobe Devanagari" w:cs="Adobe Devanagari"/>
          <w:b/>
          <w:bCs/>
          <w:i/>
          <w:iCs/>
          <w:color w:val="000000"/>
          <w:sz w:val="24"/>
          <w:szCs w:val="24"/>
        </w:rPr>
        <w:t>Overview</w:t>
      </w:r>
    </w:p>
    <w:p w14:paraId="54EEB9FC" w14:textId="40CF87D5" w:rsidR="00D24193" w:rsidRPr="00B306F1" w:rsidRDefault="00E84129" w:rsidP="00B306F1">
      <w:pPr>
        <w:spacing w:after="0" w:line="240" w:lineRule="auto"/>
        <w:rPr>
          <w:rFonts w:ascii="Adobe Devanagari" w:eastAsia="Times New Roman" w:hAnsi="Adobe Devanagari" w:cs="Adobe Devanagari"/>
          <w:sz w:val="24"/>
          <w:szCs w:val="24"/>
        </w:rPr>
      </w:pPr>
      <w:r w:rsidRPr="00D24193">
        <w:rPr>
          <w:rFonts w:ascii="Adobe Devanagari" w:eastAsia="Times New Roman" w:hAnsi="Adobe Devanagari" w:cs="Adobe Devanagari"/>
          <w:color w:val="000000"/>
          <w:sz w:val="24"/>
          <w:szCs w:val="24"/>
        </w:rPr>
        <w:t xml:space="preserve">This research project focuses on collaborating with Trust for Learning to design a research study to </w:t>
      </w:r>
      <w:r w:rsidRPr="00D24193">
        <w:rPr>
          <w:rFonts w:ascii="Adobe Devanagari" w:eastAsia="Times New Roman" w:hAnsi="Adobe Devanagari" w:cs="Adobe Devanagari"/>
          <w:sz w:val="24"/>
          <w:szCs w:val="24"/>
        </w:rPr>
        <w:t>assess</w:t>
      </w:r>
      <w:r w:rsidRPr="00D24193">
        <w:rPr>
          <w:rFonts w:ascii="Adobe Devanagari" w:eastAsia="Times New Roman" w:hAnsi="Adobe Devanagari" w:cs="Adobe Devanagari"/>
          <w:color w:val="000000"/>
          <w:sz w:val="24"/>
          <w:szCs w:val="24"/>
        </w:rPr>
        <w:t xml:space="preserve"> alignment between Head Start grantees’ traditional curricular approaches (ex. implementation of </w:t>
      </w:r>
      <w:r w:rsidRPr="00D24193">
        <w:rPr>
          <w:rFonts w:ascii="Adobe Devanagari" w:eastAsia="Times New Roman" w:hAnsi="Adobe Devanagari" w:cs="Adobe Devanagari"/>
          <w:sz w:val="24"/>
          <w:szCs w:val="24"/>
        </w:rPr>
        <w:t>C</w:t>
      </w:r>
      <w:r w:rsidRPr="00D24193">
        <w:rPr>
          <w:rFonts w:ascii="Adobe Devanagari" w:eastAsia="Times New Roman" w:hAnsi="Adobe Devanagari" w:cs="Adobe Devanagari"/>
          <w:color w:val="000000"/>
          <w:sz w:val="24"/>
          <w:szCs w:val="24"/>
        </w:rPr>
        <w:t xml:space="preserve">reative </w:t>
      </w:r>
      <w:r w:rsidRPr="00D24193">
        <w:rPr>
          <w:rFonts w:ascii="Adobe Devanagari" w:eastAsia="Times New Roman" w:hAnsi="Adobe Devanagari" w:cs="Adobe Devanagari"/>
          <w:sz w:val="24"/>
          <w:szCs w:val="24"/>
        </w:rPr>
        <w:t>C</w:t>
      </w:r>
      <w:r w:rsidRPr="00D24193">
        <w:rPr>
          <w:rFonts w:ascii="Adobe Devanagari" w:eastAsia="Times New Roman" w:hAnsi="Adobe Devanagari" w:cs="Adobe Devanagari"/>
          <w:color w:val="000000"/>
          <w:sz w:val="24"/>
          <w:szCs w:val="24"/>
        </w:rPr>
        <w:t>urriculum) and key features of Ideal Learning Environments.</w:t>
      </w:r>
      <w:r w:rsidR="001C0526" w:rsidRPr="00D24193">
        <w:rPr>
          <w:rFonts w:ascii="Adobe Devanagari" w:eastAsia="Times New Roman" w:hAnsi="Adobe Devanagari" w:cs="Adobe Devanagari"/>
          <w:color w:val="000000"/>
          <w:sz w:val="24"/>
          <w:szCs w:val="24"/>
        </w:rPr>
        <w:t xml:space="preserve"> </w:t>
      </w:r>
      <w:r w:rsidR="001C0526" w:rsidRPr="00D24193">
        <w:rPr>
          <w:rFonts w:ascii="Adobe Devanagari" w:eastAsia="Times New Roman" w:hAnsi="Adobe Devanagari" w:cs="Adobe Devanagari"/>
          <w:color w:val="000000"/>
          <w:sz w:val="24"/>
          <w:szCs w:val="24"/>
        </w:rPr>
        <w:t>Over the years, Trust for Learning has invested resources in implementing and researching ideal learning environments such as Montessori, Reggio Emilia, Waldorf</w:t>
      </w:r>
      <w:r w:rsidR="001C0526" w:rsidRPr="00D24193">
        <w:rPr>
          <w:rFonts w:ascii="Adobe Devanagari" w:eastAsia="Arial" w:hAnsi="Adobe Devanagari" w:cs="Adobe Devanagari"/>
          <w:color w:val="585858"/>
          <w:sz w:val="24"/>
          <w:szCs w:val="24"/>
          <w:highlight w:val="white"/>
        </w:rPr>
        <w:t xml:space="preserve">, </w:t>
      </w:r>
      <w:proofErr w:type="spellStart"/>
      <w:r w:rsidR="001C0526" w:rsidRPr="00D24193">
        <w:rPr>
          <w:rFonts w:ascii="Adobe Devanagari" w:eastAsia="Times New Roman" w:hAnsi="Adobe Devanagari" w:cs="Adobe Devanagari"/>
          <w:sz w:val="24"/>
          <w:szCs w:val="24"/>
          <w:highlight w:val="white"/>
        </w:rPr>
        <w:t>HighScope</w:t>
      </w:r>
      <w:proofErr w:type="spellEnd"/>
      <w:r w:rsidR="001C0526" w:rsidRPr="00D24193">
        <w:rPr>
          <w:rFonts w:ascii="Adobe Devanagari" w:eastAsia="Times New Roman" w:hAnsi="Adobe Devanagari" w:cs="Adobe Devanagari"/>
          <w:sz w:val="24"/>
          <w:szCs w:val="24"/>
          <w:highlight w:val="white"/>
        </w:rPr>
        <w:t xml:space="preserve">, Tools of the Mind, Bank Street, Friends Center for Children, All Our Kin, EL Education, AVANCE, </w:t>
      </w:r>
      <w:proofErr w:type="spellStart"/>
      <w:r w:rsidR="001C0526" w:rsidRPr="00D24193">
        <w:rPr>
          <w:rFonts w:ascii="Adobe Devanagari" w:eastAsia="Times New Roman" w:hAnsi="Adobe Devanagari" w:cs="Adobe Devanagari"/>
          <w:sz w:val="24"/>
          <w:szCs w:val="24"/>
          <w:highlight w:val="white"/>
        </w:rPr>
        <w:t>Educare</w:t>
      </w:r>
      <w:proofErr w:type="spellEnd"/>
      <w:r w:rsidR="001C0526" w:rsidRPr="00D24193">
        <w:rPr>
          <w:rFonts w:ascii="Adobe Devanagari" w:eastAsia="Times New Roman" w:hAnsi="Adobe Devanagari" w:cs="Adobe Devanagari"/>
          <w:sz w:val="24"/>
          <w:szCs w:val="24"/>
          <w:highlight w:val="white"/>
        </w:rPr>
        <w:t>, and others</w:t>
      </w:r>
      <w:r w:rsidR="001C0526" w:rsidRPr="00D24193">
        <w:rPr>
          <w:rFonts w:ascii="Adobe Devanagari" w:eastAsia="Times New Roman" w:hAnsi="Adobe Devanagari" w:cs="Adobe Devanagari"/>
          <w:color w:val="000000"/>
          <w:sz w:val="24"/>
          <w:szCs w:val="24"/>
        </w:rPr>
        <w:t>. A</w:t>
      </w:r>
      <w:r w:rsidR="001C0526" w:rsidRPr="00D24193">
        <w:rPr>
          <w:rFonts w:ascii="Adobe Devanagari" w:eastAsia="Times New Roman" w:hAnsi="Adobe Devanagari" w:cs="Adobe Devanagari"/>
          <w:sz w:val="24"/>
          <w:szCs w:val="24"/>
        </w:rPr>
        <w:t xml:space="preserve">t the same time, </w:t>
      </w:r>
      <w:r w:rsidR="001C0526" w:rsidRPr="00D24193">
        <w:rPr>
          <w:rFonts w:ascii="Adobe Devanagari" w:eastAsia="Times New Roman" w:hAnsi="Adobe Devanagari" w:cs="Adobe Devanagari"/>
          <w:color w:val="000000"/>
          <w:sz w:val="24"/>
          <w:szCs w:val="24"/>
        </w:rPr>
        <w:t xml:space="preserve">Head Start </w:t>
      </w:r>
      <w:r w:rsidR="001C0526" w:rsidRPr="00D24193">
        <w:rPr>
          <w:rFonts w:ascii="Adobe Devanagari" w:eastAsia="Times New Roman" w:hAnsi="Adobe Devanagari" w:cs="Adobe Devanagari"/>
          <w:sz w:val="24"/>
          <w:szCs w:val="24"/>
        </w:rPr>
        <w:t xml:space="preserve">programs have </w:t>
      </w:r>
      <w:r w:rsidR="001C0526" w:rsidRPr="00D24193">
        <w:rPr>
          <w:rFonts w:ascii="Adobe Devanagari" w:eastAsia="Times New Roman" w:hAnsi="Adobe Devanagari" w:cs="Adobe Devanagari"/>
          <w:color w:val="000000"/>
          <w:sz w:val="24"/>
          <w:szCs w:val="24"/>
        </w:rPr>
        <w:t xml:space="preserve">their own expectations and regulations guided by the funder. Thus, the purpose of this </w:t>
      </w:r>
      <w:r w:rsidR="00B306F1">
        <w:rPr>
          <w:rFonts w:ascii="Adobe Devanagari" w:eastAsia="Times New Roman" w:hAnsi="Adobe Devanagari" w:cs="Adobe Devanagari"/>
          <w:color w:val="000000"/>
          <w:sz w:val="24"/>
          <w:szCs w:val="24"/>
        </w:rPr>
        <w:t>review</w:t>
      </w:r>
      <w:r w:rsidR="001C0526" w:rsidRPr="00D24193">
        <w:rPr>
          <w:rFonts w:ascii="Adobe Devanagari" w:eastAsia="Times New Roman" w:hAnsi="Adobe Devanagari" w:cs="Adobe Devanagari"/>
          <w:color w:val="000000"/>
          <w:sz w:val="24"/>
          <w:szCs w:val="24"/>
        </w:rPr>
        <w:t xml:space="preserve"> is to investigate the alignment in curriculum principles and practices between Head Start and Ideal Learning </w:t>
      </w:r>
      <w:r w:rsidR="001C0526" w:rsidRPr="00D24193">
        <w:rPr>
          <w:rFonts w:ascii="Adobe Devanagari" w:eastAsia="Times New Roman" w:hAnsi="Adobe Devanagari" w:cs="Adobe Devanagari"/>
          <w:sz w:val="24"/>
          <w:szCs w:val="24"/>
        </w:rPr>
        <w:t xml:space="preserve">environments </w:t>
      </w:r>
      <w:r w:rsidR="001C0526" w:rsidRPr="00D24193">
        <w:rPr>
          <w:rFonts w:ascii="Adobe Devanagari" w:eastAsia="Times New Roman" w:hAnsi="Adobe Devanagari" w:cs="Adobe Devanagari"/>
          <w:sz w:val="24"/>
          <w:szCs w:val="24"/>
        </w:rPr>
        <w:t>to</w:t>
      </w:r>
      <w:r w:rsidR="001C0526" w:rsidRPr="00D24193">
        <w:rPr>
          <w:rFonts w:ascii="Adobe Devanagari" w:eastAsia="Times New Roman" w:hAnsi="Adobe Devanagari" w:cs="Adobe Devanagari"/>
          <w:color w:val="000000"/>
          <w:sz w:val="24"/>
          <w:szCs w:val="24"/>
        </w:rPr>
        <w:t xml:space="preserve"> better inform educ</w:t>
      </w:r>
      <w:r w:rsidR="001C0526" w:rsidRPr="00D24193">
        <w:rPr>
          <w:rFonts w:ascii="Adobe Devanagari" w:eastAsia="Times New Roman" w:hAnsi="Adobe Devanagari" w:cs="Adobe Devanagari"/>
          <w:sz w:val="24"/>
          <w:szCs w:val="24"/>
        </w:rPr>
        <w:t xml:space="preserve">ators’, stakeholders’ and </w:t>
      </w:r>
      <w:r w:rsidR="001C0526" w:rsidRPr="00D24193">
        <w:rPr>
          <w:rFonts w:ascii="Adobe Devanagari" w:eastAsia="Times New Roman" w:hAnsi="Adobe Devanagari" w:cs="Adobe Devanagari"/>
          <w:color w:val="000000"/>
          <w:sz w:val="24"/>
          <w:szCs w:val="24"/>
        </w:rPr>
        <w:t xml:space="preserve">funders’ support and implementation of regulations. </w:t>
      </w:r>
      <w:r w:rsidRPr="00D24193">
        <w:rPr>
          <w:rFonts w:ascii="Adobe Devanagari" w:eastAsia="Times New Roman" w:hAnsi="Adobe Devanagari" w:cs="Adobe Devanagari"/>
          <w:b/>
          <w:sz w:val="24"/>
          <w:szCs w:val="24"/>
        </w:rPr>
        <w:tab/>
      </w:r>
    </w:p>
    <w:p w14:paraId="6272860B" w14:textId="77777777" w:rsidR="00B306F1" w:rsidRPr="0031747A" w:rsidRDefault="00E84129" w:rsidP="00B306F1">
      <w:pPr>
        <w:spacing w:after="0" w:line="240" w:lineRule="auto"/>
        <w:rPr>
          <w:rFonts w:ascii="Adobe Devanagari" w:eastAsia="Times New Roman" w:hAnsi="Adobe Devanagari" w:cs="Adobe Devanagari"/>
          <w:b/>
          <w:i/>
          <w:iCs/>
          <w:sz w:val="24"/>
          <w:szCs w:val="24"/>
        </w:rPr>
      </w:pPr>
      <w:r w:rsidRPr="0031747A">
        <w:rPr>
          <w:rFonts w:ascii="Adobe Devanagari" w:eastAsia="Times New Roman" w:hAnsi="Adobe Devanagari" w:cs="Adobe Devanagari"/>
          <w:b/>
          <w:i/>
          <w:iCs/>
          <w:sz w:val="24"/>
          <w:szCs w:val="24"/>
        </w:rPr>
        <w:t>Guiding Questions</w:t>
      </w:r>
    </w:p>
    <w:p w14:paraId="475B53AE" w14:textId="4B0D90A2" w:rsidR="00E84129" w:rsidRPr="00B306F1" w:rsidRDefault="00E84129" w:rsidP="00B306F1">
      <w:pPr>
        <w:spacing w:after="0" w:line="240" w:lineRule="auto"/>
        <w:rPr>
          <w:rFonts w:ascii="Adobe Devanagari" w:eastAsia="Times New Roman" w:hAnsi="Adobe Devanagari" w:cs="Adobe Devanagari"/>
          <w:b/>
          <w:sz w:val="24"/>
          <w:szCs w:val="24"/>
        </w:rPr>
      </w:pPr>
      <w:r w:rsidRPr="00D24193">
        <w:rPr>
          <w:rFonts w:ascii="Adobe Devanagari" w:eastAsia="Times New Roman" w:hAnsi="Adobe Devanagari" w:cs="Adobe Devanagari"/>
          <w:sz w:val="24"/>
          <w:szCs w:val="24"/>
        </w:rPr>
        <w:t xml:space="preserve">This review aims to answer the following questions </w:t>
      </w:r>
      <w:r w:rsidRPr="00D24193">
        <w:rPr>
          <w:rFonts w:ascii="Adobe Devanagari" w:eastAsia="Times New Roman" w:hAnsi="Adobe Devanagari" w:cs="Adobe Devanagari"/>
          <w:sz w:val="24"/>
          <w:szCs w:val="24"/>
        </w:rPr>
        <w:t>to</w:t>
      </w:r>
      <w:r w:rsidRPr="00D24193">
        <w:rPr>
          <w:rFonts w:ascii="Adobe Devanagari" w:eastAsia="Times New Roman" w:hAnsi="Adobe Devanagari" w:cs="Adobe Devanagari"/>
          <w:sz w:val="24"/>
          <w:szCs w:val="24"/>
        </w:rPr>
        <w:t xml:space="preserve"> achieve those goals. </w:t>
      </w:r>
    </w:p>
    <w:p w14:paraId="15A617F3" w14:textId="77777777" w:rsidR="00E84129" w:rsidRPr="00D24193" w:rsidRDefault="00E84129" w:rsidP="001C0526">
      <w:pPr>
        <w:numPr>
          <w:ilvl w:val="0"/>
          <w:numId w:val="2"/>
        </w:numPr>
        <w:pBdr>
          <w:top w:val="nil"/>
          <w:left w:val="nil"/>
          <w:bottom w:val="nil"/>
          <w:right w:val="nil"/>
          <w:between w:val="nil"/>
        </w:pBdr>
        <w:spacing w:after="0" w:line="240" w:lineRule="auto"/>
        <w:rPr>
          <w:rFonts w:ascii="Adobe Devanagari" w:eastAsia="Times New Roman" w:hAnsi="Adobe Devanagari" w:cs="Adobe Devanagari"/>
          <w:color w:val="000000"/>
          <w:sz w:val="24"/>
          <w:szCs w:val="24"/>
        </w:rPr>
      </w:pPr>
      <w:r w:rsidRPr="00D24193">
        <w:rPr>
          <w:rFonts w:ascii="Adobe Devanagari" w:eastAsia="Times New Roman" w:hAnsi="Adobe Devanagari" w:cs="Adobe Devanagari"/>
          <w:color w:val="000000"/>
          <w:sz w:val="24"/>
          <w:szCs w:val="24"/>
        </w:rPr>
        <w:t>What are the principles of the curricular models endorsed by Ideal Learning Environments?</w:t>
      </w:r>
    </w:p>
    <w:p w14:paraId="1FF181AC" w14:textId="77777777" w:rsidR="00E84129" w:rsidRPr="00D24193" w:rsidRDefault="00E84129" w:rsidP="001C0526">
      <w:pPr>
        <w:numPr>
          <w:ilvl w:val="0"/>
          <w:numId w:val="2"/>
        </w:numPr>
        <w:pBdr>
          <w:top w:val="nil"/>
          <w:left w:val="nil"/>
          <w:bottom w:val="nil"/>
          <w:right w:val="nil"/>
          <w:between w:val="nil"/>
        </w:pBdr>
        <w:spacing w:after="0" w:line="240" w:lineRule="auto"/>
        <w:rPr>
          <w:rFonts w:ascii="Adobe Devanagari" w:eastAsia="Times New Roman" w:hAnsi="Adobe Devanagari" w:cs="Adobe Devanagari"/>
          <w:color w:val="000000"/>
          <w:sz w:val="24"/>
          <w:szCs w:val="24"/>
        </w:rPr>
      </w:pPr>
      <w:r w:rsidRPr="00D24193">
        <w:rPr>
          <w:rFonts w:ascii="Adobe Devanagari" w:eastAsia="Times New Roman" w:hAnsi="Adobe Devanagari" w:cs="Adobe Devanagari"/>
          <w:color w:val="000000"/>
          <w:sz w:val="24"/>
          <w:szCs w:val="24"/>
        </w:rPr>
        <w:t xml:space="preserve">How does ideal learning environment curricular models align with Head Start Early Learning Outcomes Framework? </w:t>
      </w:r>
    </w:p>
    <w:p w14:paraId="0F086666" w14:textId="48A15E1B" w:rsidR="00E84129" w:rsidRPr="00D24193" w:rsidRDefault="00E84129" w:rsidP="001C0526">
      <w:pPr>
        <w:numPr>
          <w:ilvl w:val="0"/>
          <w:numId w:val="2"/>
        </w:numPr>
        <w:pBdr>
          <w:top w:val="nil"/>
          <w:left w:val="nil"/>
          <w:bottom w:val="nil"/>
          <w:right w:val="nil"/>
          <w:between w:val="nil"/>
        </w:pBdr>
        <w:spacing w:after="0" w:line="240" w:lineRule="auto"/>
        <w:rPr>
          <w:rFonts w:ascii="Adobe Devanagari" w:eastAsia="Times New Roman" w:hAnsi="Adobe Devanagari" w:cs="Adobe Devanagari"/>
          <w:color w:val="000000"/>
          <w:sz w:val="24"/>
          <w:szCs w:val="24"/>
        </w:rPr>
      </w:pPr>
      <w:r w:rsidRPr="00D24193">
        <w:rPr>
          <w:rFonts w:ascii="Adobe Devanagari" w:eastAsia="Times New Roman" w:hAnsi="Adobe Devanagari" w:cs="Adobe Devanagari"/>
          <w:sz w:val="24"/>
          <w:szCs w:val="24"/>
          <w:highlight w:val="white"/>
        </w:rPr>
        <w:t xml:space="preserve">What are the barriers to implementing a progressive curricular approach – and Ideal Learning Environment – within the highly regulated context of Head Start? </w:t>
      </w:r>
    </w:p>
    <w:p w14:paraId="3F4F2E4F" w14:textId="71A41AEE" w:rsidR="001C0526" w:rsidRPr="00D24193" w:rsidRDefault="00D24193" w:rsidP="001C0526">
      <w:pPr>
        <w:pStyle w:val="ListParagraph"/>
        <w:numPr>
          <w:ilvl w:val="0"/>
          <w:numId w:val="2"/>
        </w:numPr>
        <w:pBdr>
          <w:top w:val="nil"/>
          <w:left w:val="nil"/>
          <w:bottom w:val="nil"/>
          <w:right w:val="nil"/>
          <w:between w:val="nil"/>
        </w:pBdr>
        <w:spacing w:after="0" w:line="240" w:lineRule="auto"/>
        <w:rPr>
          <w:rFonts w:ascii="Adobe Devanagari" w:eastAsia="Times New Roman" w:hAnsi="Adobe Devanagari" w:cs="Adobe Devanagari"/>
          <w:sz w:val="24"/>
          <w:szCs w:val="24"/>
        </w:rPr>
      </w:pPr>
      <w:r w:rsidRPr="00D24193">
        <w:rPr>
          <w:rFonts w:ascii="Adobe Devanagari" w:hAnsi="Adobe Devanagari" w:cs="Adobe Devanagari"/>
          <w:b/>
          <w:bCs/>
          <w:noProof/>
          <w:sz w:val="24"/>
          <w:szCs w:val="24"/>
        </w:rPr>
        <mc:AlternateContent>
          <mc:Choice Requires="wps">
            <w:drawing>
              <wp:anchor distT="0" distB="0" distL="114300" distR="114300" simplePos="0" relativeHeight="251663360" behindDoc="0" locked="0" layoutInCell="1" allowOverlap="1" wp14:anchorId="3BEB9EF0" wp14:editId="643275A0">
                <wp:simplePos x="0" y="0"/>
                <wp:positionH relativeFrom="margin">
                  <wp:align>left</wp:align>
                </wp:positionH>
                <wp:positionV relativeFrom="paragraph">
                  <wp:posOffset>617220</wp:posOffset>
                </wp:positionV>
                <wp:extent cx="6610350" cy="46672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6610350" cy="466725"/>
                        </a:xfrm>
                        <a:prstGeom prst="rect">
                          <a:avLst/>
                        </a:prstGeom>
                        <a:noFill/>
                        <a:ln>
                          <a:noFill/>
                        </a:ln>
                      </wps:spPr>
                      <wps:txbx>
                        <w:txbxContent>
                          <w:p w14:paraId="4C609E2A" w14:textId="2A79D159" w:rsidR="001C0526" w:rsidRPr="00E84129" w:rsidRDefault="001C0526" w:rsidP="001C0526">
                            <w:pPr>
                              <w:spacing w:after="0" w:line="480" w:lineRule="auto"/>
                              <w:rPr>
                                <w:rFonts w:ascii="Times New Roman" w:eastAsia="Times New Roman" w:hAnsi="Times New Roman" w:cs="Times New Roman"/>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Key Findings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B9EF0" id="Text Box 3" o:spid="_x0000_s1028" type="#_x0000_t202" style="position:absolute;left:0;text-align:left;margin-left:0;margin-top:48.6pt;width:520.5pt;height:36.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" filled="f" stroked="f">
                <v:fill o:detectmouseclick="t"/>
                <v:textbox>
                  <w:txbxContent>
                    <w:p w14:paraId="4C609E2A" w14:textId="2A79D159" w:rsidR="001C0526" w:rsidRPr="00E84129" w:rsidRDefault="001C0526" w:rsidP="001C0526">
                      <w:pPr>
                        <w:spacing w:after="0" w:line="480" w:lineRule="auto"/>
                        <w:rPr>
                          <w:rFonts w:ascii="Times New Roman" w:eastAsia="Times New Roman" w:hAnsi="Times New Roman" w:cs="Times New Roman"/>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Key Findings</w:t>
                      </w:r>
                    </w:p>
                  </w:txbxContent>
                </v:textbox>
                <w10:wrap type="square" anchorx="margin"/>
              </v:shape>
            </w:pict>
          </mc:Fallback>
        </mc:AlternateContent>
      </w:r>
      <w:r w:rsidR="001C0526" w:rsidRPr="00D24193">
        <w:rPr>
          <w:rFonts w:ascii="Adobe Devanagari" w:eastAsia="Arial" w:hAnsi="Adobe Devanagari" w:cs="Adobe Devanagari"/>
          <w:color w:val="000000"/>
          <w:sz w:val="24"/>
          <w:szCs w:val="24"/>
        </w:rPr>
        <w:t>F</w:t>
      </w:r>
      <w:r w:rsidR="001C0526" w:rsidRPr="00D24193">
        <w:rPr>
          <w:rFonts w:ascii="Adobe Devanagari" w:eastAsia="Arial" w:hAnsi="Adobe Devanagari" w:cs="Adobe Devanagari"/>
          <w:color w:val="000000"/>
          <w:sz w:val="24"/>
          <w:szCs w:val="24"/>
        </w:rPr>
        <w:t xml:space="preserve">ew studies described the curricular approaches endorsed by Ideal Learning Environments in terms of classroom practices, teachers’ roles, students’ roles, and materials.  </w:t>
      </w:r>
    </w:p>
    <w:p w14:paraId="18A29616" w14:textId="052718EC" w:rsidR="001C0526" w:rsidRPr="00D24193" w:rsidRDefault="001C0526" w:rsidP="001C0526">
      <w:pPr>
        <w:pStyle w:val="ListParagraph"/>
        <w:numPr>
          <w:ilvl w:val="0"/>
          <w:numId w:val="2"/>
        </w:numPr>
        <w:pBdr>
          <w:top w:val="nil"/>
          <w:left w:val="nil"/>
          <w:bottom w:val="nil"/>
          <w:right w:val="nil"/>
          <w:between w:val="nil"/>
        </w:pBdr>
        <w:spacing w:after="0" w:line="240" w:lineRule="auto"/>
        <w:rPr>
          <w:rFonts w:ascii="Adobe Devanagari" w:eastAsia="Times New Roman" w:hAnsi="Adobe Devanagari" w:cs="Adobe Devanagari"/>
          <w:sz w:val="24"/>
          <w:szCs w:val="24"/>
        </w:rPr>
      </w:pPr>
      <w:r w:rsidRPr="00D24193">
        <w:rPr>
          <w:rFonts w:ascii="Adobe Devanagari" w:eastAsia="Arial" w:hAnsi="Adobe Devanagari" w:cs="Adobe Devanagari"/>
          <w:color w:val="000000"/>
          <w:sz w:val="24"/>
          <w:szCs w:val="24"/>
        </w:rPr>
        <w:t>A few research studies explore the connection and alignment of Head Start and Montessori, Reggio Emilia and Waldorf and High Scope finding that alignment and</w:t>
      </w:r>
      <w:r w:rsidR="00B306F1">
        <w:rPr>
          <w:rFonts w:ascii="Adobe Devanagari" w:eastAsia="Arial" w:hAnsi="Adobe Devanagari" w:cs="Adobe Devanagari"/>
          <w:color w:val="000000"/>
          <w:sz w:val="24"/>
          <w:szCs w:val="24"/>
        </w:rPr>
        <w:t xml:space="preserve"> </w:t>
      </w:r>
      <w:r w:rsidRPr="00D24193">
        <w:rPr>
          <w:rFonts w:ascii="Adobe Devanagari" w:eastAsia="Arial" w:hAnsi="Adobe Devanagari" w:cs="Adobe Devanagari"/>
          <w:color w:val="000000"/>
          <w:sz w:val="24"/>
          <w:szCs w:val="24"/>
        </w:rPr>
        <w:t>misalignment usually involves the selection of material</w:t>
      </w:r>
      <w:r w:rsidR="00B306F1">
        <w:rPr>
          <w:rFonts w:ascii="Adobe Devanagari" w:eastAsia="Arial" w:hAnsi="Adobe Devanagari" w:cs="Adobe Devanagari"/>
          <w:color w:val="000000"/>
          <w:sz w:val="24"/>
          <w:szCs w:val="24"/>
        </w:rPr>
        <w:t>s</w:t>
      </w:r>
      <w:r w:rsidRPr="00D24193">
        <w:rPr>
          <w:rFonts w:ascii="Adobe Devanagari" w:eastAsia="Arial" w:hAnsi="Adobe Devanagari" w:cs="Adobe Devanagari"/>
          <w:color w:val="000000"/>
          <w:sz w:val="24"/>
          <w:szCs w:val="24"/>
        </w:rPr>
        <w:t xml:space="preserve">, the principles of learning adopted and how each curricular </w:t>
      </w:r>
      <w:r w:rsidRPr="00D24193">
        <w:rPr>
          <w:rFonts w:ascii="Adobe Devanagari" w:eastAsia="Arial" w:hAnsi="Adobe Devanagari" w:cs="Adobe Devanagari"/>
          <w:color w:val="000000"/>
          <w:sz w:val="24"/>
          <w:szCs w:val="24"/>
        </w:rPr>
        <w:lastRenderedPageBreak/>
        <w:t xml:space="preserve">model embraces the concept of learning in language and literacy, relationship with adults in socio-emotional domain and cognition domains.  </w:t>
      </w:r>
    </w:p>
    <w:p w14:paraId="1964FF52" w14:textId="77777777" w:rsidR="001C0526" w:rsidRPr="00D24193" w:rsidRDefault="001C0526" w:rsidP="001C0526">
      <w:pPr>
        <w:pStyle w:val="ListParagraph"/>
        <w:numPr>
          <w:ilvl w:val="0"/>
          <w:numId w:val="2"/>
        </w:numPr>
        <w:pBdr>
          <w:top w:val="nil"/>
          <w:left w:val="nil"/>
          <w:bottom w:val="nil"/>
          <w:right w:val="nil"/>
          <w:between w:val="nil"/>
        </w:pBdr>
        <w:spacing w:after="0" w:line="240" w:lineRule="auto"/>
        <w:rPr>
          <w:rFonts w:ascii="Adobe Devanagari" w:eastAsia="Times New Roman" w:hAnsi="Adobe Devanagari" w:cs="Adobe Devanagari"/>
          <w:sz w:val="24"/>
          <w:szCs w:val="24"/>
        </w:rPr>
      </w:pPr>
      <w:r w:rsidRPr="00D24193">
        <w:rPr>
          <w:rFonts w:ascii="Adobe Devanagari" w:eastAsia="Arial" w:hAnsi="Adobe Devanagari" w:cs="Adobe Devanagari"/>
          <w:color w:val="000000"/>
          <w:sz w:val="24"/>
          <w:szCs w:val="24"/>
        </w:rPr>
        <w:t xml:space="preserve">The curricular misalignment of HS and Ideal Learning Environments might represent barriers to implementation in terms of structuring learning activities, teachers’ training, and parental involvement. </w:t>
      </w:r>
    </w:p>
    <w:p w14:paraId="7ED15F03" w14:textId="77777777" w:rsidR="00D24193" w:rsidRPr="00D24193" w:rsidRDefault="001C0526" w:rsidP="00D24193">
      <w:pPr>
        <w:pStyle w:val="ListParagraph"/>
        <w:numPr>
          <w:ilvl w:val="0"/>
          <w:numId w:val="2"/>
        </w:numPr>
        <w:pBdr>
          <w:top w:val="nil"/>
          <w:left w:val="nil"/>
          <w:bottom w:val="nil"/>
          <w:right w:val="nil"/>
          <w:between w:val="nil"/>
        </w:pBdr>
        <w:spacing w:after="0" w:line="240" w:lineRule="auto"/>
        <w:rPr>
          <w:rFonts w:ascii="Adobe Devanagari" w:eastAsia="Times New Roman" w:hAnsi="Adobe Devanagari" w:cs="Adobe Devanagari"/>
          <w:sz w:val="24"/>
          <w:szCs w:val="24"/>
        </w:rPr>
      </w:pPr>
      <w:r w:rsidRPr="00D24193">
        <w:rPr>
          <w:rFonts w:ascii="Adobe Devanagari" w:eastAsia="Times New Roman" w:hAnsi="Adobe Devanagari" w:cs="Adobe Devanagari"/>
          <w:sz w:val="24"/>
          <w:szCs w:val="24"/>
        </w:rPr>
        <w:t xml:space="preserve">While High Scope and Tools of the minds are the most aligned with Head Start standards, the prescriptive nature of the approaches might represent a barrier of implementation for teachers without the corresponding </w:t>
      </w:r>
      <w:sdt>
        <w:sdtPr>
          <w:rPr>
            <w:rFonts w:ascii="Adobe Devanagari" w:hAnsi="Adobe Devanagari" w:cs="Adobe Devanagari"/>
            <w:sz w:val="24"/>
            <w:szCs w:val="24"/>
          </w:rPr>
          <w:tag w:val="goog_rdk_6"/>
          <w:id w:val="840887729"/>
        </w:sdtPr>
        <w:sdtContent/>
      </w:sdt>
      <w:r w:rsidRPr="00D24193">
        <w:rPr>
          <w:rFonts w:ascii="Adobe Devanagari" w:eastAsia="Times New Roman" w:hAnsi="Adobe Devanagari" w:cs="Adobe Devanagari"/>
          <w:sz w:val="24"/>
          <w:szCs w:val="24"/>
        </w:rPr>
        <w:t>training.</w:t>
      </w:r>
    </w:p>
    <w:p w14:paraId="5E184E58" w14:textId="72C21134" w:rsidR="00D24193" w:rsidRPr="00D24193" w:rsidRDefault="00D24193" w:rsidP="00D24193">
      <w:pPr>
        <w:pBdr>
          <w:top w:val="nil"/>
          <w:left w:val="nil"/>
          <w:bottom w:val="nil"/>
          <w:right w:val="nil"/>
          <w:between w:val="nil"/>
        </w:pBdr>
        <w:spacing w:after="0" w:line="240" w:lineRule="auto"/>
        <w:rPr>
          <w:rFonts w:ascii="Adobe Devanagari" w:eastAsia="Times New Roman" w:hAnsi="Adobe Devanagari" w:cs="Adobe Devanagari"/>
          <w:sz w:val="24"/>
          <w:szCs w:val="24"/>
        </w:rPr>
      </w:pPr>
      <w:r w:rsidRPr="00D24193">
        <w:rPr>
          <w:rFonts w:ascii="Adobe Devanagari" w:hAnsi="Adobe Devanagari" w:cs="Adobe Devanagari"/>
          <w:noProof/>
          <w:sz w:val="24"/>
          <w:szCs w:val="24"/>
        </w:rPr>
        <mc:AlternateContent>
          <mc:Choice Requires="wps">
            <w:drawing>
              <wp:anchor distT="0" distB="0" distL="114300" distR="114300" simplePos="0" relativeHeight="251665408" behindDoc="0" locked="0" layoutInCell="1" allowOverlap="1" wp14:anchorId="6041D49F" wp14:editId="47E1FB1E">
                <wp:simplePos x="0" y="0"/>
                <wp:positionH relativeFrom="margin">
                  <wp:align>left</wp:align>
                </wp:positionH>
                <wp:positionV relativeFrom="paragraph">
                  <wp:posOffset>262890</wp:posOffset>
                </wp:positionV>
                <wp:extent cx="6610350" cy="466725"/>
                <wp:effectExtent l="0" t="0" r="0" b="9525"/>
                <wp:wrapSquare wrapText="bothSides"/>
                <wp:docPr id="4" name="Text Box 4"/>
                <wp:cNvGraphicFramePr/>
                <a:graphic xmlns:a="http://schemas.openxmlformats.org/drawingml/2006/main">
                  <a:graphicData uri="http://schemas.microsoft.com/office/word/2010/wordprocessingShape">
                    <wps:wsp>
                      <wps:cNvSpPr txBox="1"/>
                      <wps:spPr>
                        <a:xfrm>
                          <a:off x="0" y="0"/>
                          <a:ext cx="6610350" cy="466725"/>
                        </a:xfrm>
                        <a:prstGeom prst="rect">
                          <a:avLst/>
                        </a:prstGeom>
                        <a:noFill/>
                        <a:ln>
                          <a:noFill/>
                        </a:ln>
                      </wps:spPr>
                      <wps:txbx>
                        <w:txbxContent>
                          <w:p w14:paraId="3073AA53" w14:textId="5A894A1C" w:rsidR="001C0526" w:rsidRPr="00E84129" w:rsidRDefault="00D24193" w:rsidP="001C0526">
                            <w:pPr>
                              <w:spacing w:after="0" w:line="480" w:lineRule="auto"/>
                              <w:rPr>
                                <w:rFonts w:ascii="Times New Roman" w:eastAsia="Times New Roman" w:hAnsi="Times New Roman" w:cs="Times New Roman"/>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Recommendations for </w:t>
                            </w:r>
                            <w:r w:rsidR="00B306F1">
                              <w:rPr>
                                <w:rFonts w:ascii="Times New Roman" w:eastAsia="Times New Roman" w:hAnsi="Times New Roman" w:cs="Times New Roman"/>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Future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1D49F" id="Text Box 4" o:spid="_x0000_s1029" type="#_x0000_t202" style="position:absolute;margin-left:0;margin-top:20.7pt;width:520.5pt;height:36.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" filled="f" stroked="f">
                <v:fill o:detectmouseclick="t"/>
                <v:textbox>
                  <w:txbxContent>
                    <w:p w14:paraId="3073AA53" w14:textId="5A894A1C" w:rsidR="001C0526" w:rsidRPr="00E84129" w:rsidRDefault="00D24193" w:rsidP="001C0526">
                      <w:pPr>
                        <w:spacing w:after="0" w:line="480" w:lineRule="auto"/>
                        <w:rPr>
                          <w:rFonts w:ascii="Times New Roman" w:eastAsia="Times New Roman" w:hAnsi="Times New Roman" w:cs="Times New Roman"/>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Recommendations for </w:t>
                      </w:r>
                      <w:r w:rsidR="00B306F1">
                        <w:rPr>
                          <w:rFonts w:ascii="Times New Roman" w:eastAsia="Times New Roman" w:hAnsi="Times New Roman" w:cs="Times New Roman"/>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Future Research</w:t>
                      </w:r>
                    </w:p>
                  </w:txbxContent>
                </v:textbox>
                <w10:wrap type="square" anchorx="margin"/>
              </v:shape>
            </w:pict>
          </mc:Fallback>
        </mc:AlternateContent>
      </w:r>
    </w:p>
    <w:p w14:paraId="51DDB275" w14:textId="1A1AE19E" w:rsidR="00D24193" w:rsidRPr="00D24193" w:rsidRDefault="00D24193" w:rsidP="00D24193">
      <w:pPr>
        <w:pStyle w:val="ListParagraph"/>
        <w:numPr>
          <w:ilvl w:val="0"/>
          <w:numId w:val="4"/>
        </w:numPr>
        <w:pBdr>
          <w:top w:val="nil"/>
          <w:left w:val="nil"/>
          <w:bottom w:val="nil"/>
          <w:right w:val="nil"/>
          <w:between w:val="nil"/>
        </w:pBdr>
        <w:tabs>
          <w:tab w:val="left" w:pos="630"/>
        </w:tabs>
        <w:spacing w:after="0" w:line="240" w:lineRule="auto"/>
        <w:rPr>
          <w:rFonts w:ascii="Adobe Devanagari" w:eastAsia="Times New Roman" w:hAnsi="Adobe Devanagari" w:cs="Adobe Devanagari"/>
          <w:sz w:val="24"/>
          <w:szCs w:val="24"/>
        </w:rPr>
      </w:pPr>
      <w:r w:rsidRPr="00D24193">
        <w:rPr>
          <w:rFonts w:ascii="Adobe Devanagari" w:eastAsia="Times New Roman" w:hAnsi="Adobe Devanagari" w:cs="Adobe Devanagari"/>
          <w:sz w:val="24"/>
          <w:szCs w:val="24"/>
        </w:rPr>
        <w:t>Most of the studies documented in this study have examined the different curriculum models in isolation. More exploratory, experiential research is needed to compare how the curriculum models endorsed by Ideal Learning Environments can be implemented and aligned with Head Start Framework</w:t>
      </w:r>
      <w:r>
        <w:rPr>
          <w:rFonts w:ascii="Adobe Devanagari" w:eastAsia="Times New Roman" w:hAnsi="Adobe Devanagari" w:cs="Adobe Devanagari"/>
          <w:sz w:val="24"/>
          <w:szCs w:val="24"/>
        </w:rPr>
        <w:t>s</w:t>
      </w:r>
      <w:r w:rsidRPr="00D24193">
        <w:rPr>
          <w:rFonts w:ascii="Adobe Devanagari" w:eastAsia="Times New Roman" w:hAnsi="Adobe Devanagari" w:cs="Adobe Devanagari"/>
          <w:sz w:val="24"/>
          <w:szCs w:val="24"/>
        </w:rPr>
        <w:t xml:space="preserve">. </w:t>
      </w:r>
    </w:p>
    <w:p w14:paraId="385B66F4" w14:textId="109F8ED5" w:rsidR="00D24193" w:rsidRPr="00D24193" w:rsidRDefault="00D24193" w:rsidP="00D24193">
      <w:pPr>
        <w:pStyle w:val="ListParagraph"/>
        <w:numPr>
          <w:ilvl w:val="0"/>
          <w:numId w:val="4"/>
        </w:numPr>
        <w:pBdr>
          <w:top w:val="nil"/>
          <w:left w:val="nil"/>
          <w:bottom w:val="nil"/>
          <w:right w:val="nil"/>
          <w:between w:val="nil"/>
        </w:pBdr>
        <w:tabs>
          <w:tab w:val="left" w:pos="630"/>
        </w:tabs>
        <w:spacing w:after="0" w:line="240" w:lineRule="auto"/>
        <w:rPr>
          <w:rFonts w:ascii="Adobe Devanagari" w:eastAsia="Times New Roman" w:hAnsi="Adobe Devanagari" w:cs="Adobe Devanagari"/>
          <w:sz w:val="24"/>
          <w:szCs w:val="24"/>
        </w:rPr>
      </w:pPr>
      <w:r w:rsidRPr="00D24193">
        <w:rPr>
          <w:rFonts w:ascii="Adobe Devanagari" w:hAnsi="Adobe Devanagari" w:cs="Adobe Devanagari"/>
          <w:sz w:val="24"/>
          <w:szCs w:val="24"/>
        </w:rPr>
        <w:t xml:space="preserve">I suggest conducting a program evaluation that follows a responsive approach to evaluation of programs (Russ-Eft (2009). A responsive approach to the evaluation of Ideal Learning Environments from different sources, primary and secondary stakeholders including talking to teachers, program staff, and other audiences to identify each program’s scope and activities and discover individuals’ concerns. This program evaluation can be done by developing small case studies through qualitative data collection strategies such as interviews and observations or large-scale quantitative instruments. As Head Start standards as somewhat difficult to operationalize, Trust for Learning may provide a scaffolded version of learning outcomes and standards that grantees can easily follow to assess their own outcomes and whether they are following the guidelines and requirements. </w:t>
      </w:r>
    </w:p>
    <w:p w14:paraId="25896DD7" w14:textId="4BA8F595" w:rsidR="00D24193" w:rsidRPr="00D24193" w:rsidRDefault="00D24193" w:rsidP="00D24193">
      <w:pPr>
        <w:widowControl w:val="0"/>
        <w:numPr>
          <w:ilvl w:val="0"/>
          <w:numId w:val="4"/>
        </w:numPr>
        <w:spacing w:after="0" w:line="240" w:lineRule="auto"/>
        <w:rPr>
          <w:rFonts w:ascii="Adobe Devanagari" w:hAnsi="Adobe Devanagari" w:cs="Adobe Devanagari"/>
          <w:sz w:val="24"/>
          <w:szCs w:val="24"/>
        </w:rPr>
      </w:pPr>
      <w:r w:rsidRPr="00D24193">
        <w:rPr>
          <w:rFonts w:ascii="Adobe Devanagari" w:hAnsi="Adobe Devanagari" w:cs="Adobe Devanagari"/>
          <w:sz w:val="24"/>
          <w:szCs w:val="24"/>
        </w:rPr>
        <w:t xml:space="preserve">A need analysis at the beginning and in the middle of partnerships to identify weaknesses and desires of the stakeholders.  This can be done with the purpose of rethinking the goals based on the real conditions of each community partner staff. Thus, teachers, administrators and parents may feel part of the process. Intensifying their sense of belonging can lead to a more culturally responsive practice. </w:t>
      </w:r>
    </w:p>
    <w:p w14:paraId="2447AAB9" w14:textId="12F2ECAA" w:rsidR="00D24193" w:rsidRPr="00D24193" w:rsidRDefault="00D24193" w:rsidP="00D24193">
      <w:pPr>
        <w:pStyle w:val="ListParagraph"/>
        <w:widowControl w:val="0"/>
        <w:numPr>
          <w:ilvl w:val="0"/>
          <w:numId w:val="4"/>
        </w:numPr>
        <w:pBdr>
          <w:top w:val="nil"/>
          <w:left w:val="nil"/>
          <w:bottom w:val="nil"/>
          <w:right w:val="nil"/>
          <w:between w:val="nil"/>
        </w:pBdr>
        <w:tabs>
          <w:tab w:val="left" w:pos="630"/>
        </w:tabs>
        <w:spacing w:after="0" w:line="240" w:lineRule="auto"/>
        <w:rPr>
          <w:rFonts w:ascii="Adobe Devanagari" w:eastAsia="Times New Roman" w:hAnsi="Adobe Devanagari" w:cs="Adobe Devanagari"/>
          <w:sz w:val="24"/>
          <w:szCs w:val="24"/>
        </w:rPr>
      </w:pPr>
      <w:r w:rsidRPr="00D24193">
        <w:rPr>
          <w:rFonts w:ascii="Adobe Devanagari" w:eastAsia="Times New Roman" w:hAnsi="Adobe Devanagari" w:cs="Adobe Devanagari"/>
          <w:color w:val="000000"/>
          <w:sz w:val="24"/>
          <w:szCs w:val="24"/>
        </w:rPr>
        <w:t xml:space="preserve">Given the need </w:t>
      </w:r>
      <w:r w:rsidRPr="00D24193">
        <w:rPr>
          <w:rFonts w:ascii="Adobe Devanagari" w:eastAsia="Times New Roman" w:hAnsi="Adobe Devanagari" w:cs="Adobe Devanagari"/>
          <w:sz w:val="24"/>
          <w:szCs w:val="24"/>
        </w:rPr>
        <w:t>for more</w:t>
      </w:r>
      <w:r w:rsidRPr="00D24193">
        <w:rPr>
          <w:rFonts w:ascii="Adobe Devanagari" w:eastAsia="Times New Roman" w:hAnsi="Adobe Devanagari" w:cs="Adobe Devanagari"/>
          <w:color w:val="000000"/>
          <w:sz w:val="24"/>
          <w:szCs w:val="24"/>
        </w:rPr>
        <w:t xml:space="preserve"> quantitative and mixed </w:t>
      </w:r>
      <w:r w:rsidRPr="00D24193">
        <w:rPr>
          <w:rFonts w:ascii="Adobe Devanagari" w:eastAsia="Times New Roman" w:hAnsi="Adobe Devanagari" w:cs="Adobe Devanagari"/>
          <w:sz w:val="24"/>
          <w:szCs w:val="24"/>
        </w:rPr>
        <w:t>methods</w:t>
      </w:r>
      <w:r w:rsidRPr="00D24193">
        <w:rPr>
          <w:rFonts w:ascii="Adobe Devanagari" w:eastAsia="Times New Roman" w:hAnsi="Adobe Devanagari" w:cs="Adobe Devanagari"/>
          <w:color w:val="000000"/>
          <w:sz w:val="24"/>
          <w:szCs w:val="24"/>
        </w:rPr>
        <w:t xml:space="preserve"> research, Emerson, and Linder (2021) propose a framework to research one curriculum </w:t>
      </w:r>
      <w:r w:rsidRPr="00D24193">
        <w:rPr>
          <w:rFonts w:ascii="Adobe Devanagari" w:eastAsia="Times New Roman" w:hAnsi="Adobe Devanagari" w:cs="Adobe Devanagari"/>
          <w:sz w:val="24"/>
          <w:szCs w:val="24"/>
        </w:rPr>
        <w:t xml:space="preserve">used in ideal learning environments – </w:t>
      </w:r>
      <w:r w:rsidRPr="00D24193">
        <w:rPr>
          <w:rFonts w:ascii="Adobe Devanagari" w:eastAsia="Times New Roman" w:hAnsi="Adobe Devanagari" w:cs="Adobe Devanagari"/>
          <w:color w:val="000000"/>
          <w:sz w:val="24"/>
          <w:szCs w:val="24"/>
        </w:rPr>
        <w:t xml:space="preserve">Reggio Emilia </w:t>
      </w:r>
      <w:r w:rsidRPr="00D24193">
        <w:rPr>
          <w:rFonts w:ascii="Adobe Devanagari" w:eastAsia="Times New Roman" w:hAnsi="Adobe Devanagari" w:cs="Adobe Devanagari"/>
          <w:sz w:val="24"/>
          <w:szCs w:val="24"/>
        </w:rPr>
        <w:t xml:space="preserve">– </w:t>
      </w:r>
      <w:r w:rsidRPr="00D24193">
        <w:rPr>
          <w:rFonts w:ascii="Adobe Devanagari" w:eastAsia="Times New Roman" w:hAnsi="Adobe Devanagari" w:cs="Adobe Devanagari"/>
          <w:color w:val="000000"/>
          <w:sz w:val="24"/>
          <w:szCs w:val="24"/>
        </w:rPr>
        <w:t xml:space="preserve">(see figure 1). With a more holistic approach to research, Emerson, and Linder (2021) suggest the implementation of research studies that </w:t>
      </w:r>
      <w:r w:rsidRPr="00D24193">
        <w:rPr>
          <w:rFonts w:ascii="Adobe Devanagari" w:eastAsia="Times New Roman" w:hAnsi="Adobe Devanagari" w:cs="Adobe Devanagari"/>
          <w:sz w:val="24"/>
          <w:szCs w:val="24"/>
        </w:rPr>
        <w:t>deepen teachers'</w:t>
      </w:r>
      <w:r w:rsidRPr="00D24193">
        <w:rPr>
          <w:rFonts w:ascii="Adobe Devanagari" w:eastAsia="Times New Roman" w:hAnsi="Adobe Devanagari" w:cs="Adobe Devanagari"/>
          <w:color w:val="000000"/>
          <w:sz w:val="24"/>
          <w:szCs w:val="24"/>
        </w:rPr>
        <w:t xml:space="preserve"> experiences, adaptability, cultural appropriation, and community instead of differential </w:t>
      </w:r>
      <w:sdt>
        <w:sdtPr>
          <w:rPr>
            <w:rFonts w:ascii="Adobe Devanagari" w:hAnsi="Adobe Devanagari" w:cs="Adobe Devanagari"/>
            <w:sz w:val="24"/>
            <w:szCs w:val="24"/>
          </w:rPr>
          <w:tag w:val="goog_rdk_24"/>
          <w:id w:val="32697202"/>
        </w:sdtPr>
        <w:sdtContent/>
      </w:sdt>
      <w:r w:rsidRPr="00D24193">
        <w:rPr>
          <w:rFonts w:ascii="Adobe Devanagari" w:eastAsia="Times New Roman" w:hAnsi="Adobe Devanagari" w:cs="Adobe Devanagari"/>
          <w:color w:val="000000"/>
          <w:sz w:val="24"/>
          <w:szCs w:val="24"/>
        </w:rPr>
        <w:t xml:space="preserve">scores. </w:t>
      </w:r>
    </w:p>
    <w:p w14:paraId="1E3B27A4" w14:textId="0EBC044C" w:rsidR="00537542" w:rsidRPr="00D24193" w:rsidRDefault="0031747A" w:rsidP="00D24193">
      <w:pPr>
        <w:pBdr>
          <w:top w:val="nil"/>
          <w:left w:val="nil"/>
          <w:bottom w:val="nil"/>
          <w:right w:val="nil"/>
          <w:between w:val="nil"/>
        </w:pBdr>
        <w:spacing w:after="0" w:line="240" w:lineRule="auto"/>
        <w:rPr>
          <w:rFonts w:ascii="Adobe Devanagari" w:eastAsia="Times New Roman" w:hAnsi="Adobe Devanagari" w:cs="Adobe Devanagari"/>
          <w:sz w:val="24"/>
          <w:szCs w:val="24"/>
        </w:rPr>
      </w:pPr>
    </w:p>
    <w:sectPr w:rsidR="00537542" w:rsidRPr="00D24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dobe Devanagari">
    <w:panose1 w:val="02040503050201020203"/>
    <w:charset w:val="00"/>
    <w:family w:val="roman"/>
    <w:notTrueType/>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364B4"/>
    <w:multiLevelType w:val="hybridMultilevel"/>
    <w:tmpl w:val="24E4A3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527606"/>
    <w:multiLevelType w:val="multilevel"/>
    <w:tmpl w:val="7814F2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8A7B76"/>
    <w:multiLevelType w:val="hybridMultilevel"/>
    <w:tmpl w:val="2B301BD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A7E78A0"/>
    <w:multiLevelType w:val="multilevel"/>
    <w:tmpl w:val="A3F6C3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47172295">
    <w:abstractNumId w:val="3"/>
  </w:num>
  <w:num w:numId="2" w16cid:durableId="312029708">
    <w:abstractNumId w:val="1"/>
  </w:num>
  <w:num w:numId="3" w16cid:durableId="1785267636">
    <w:abstractNumId w:val="0"/>
  </w:num>
  <w:num w:numId="4" w16cid:durableId="772700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129"/>
    <w:rsid w:val="0018004F"/>
    <w:rsid w:val="001C0526"/>
    <w:rsid w:val="0031747A"/>
    <w:rsid w:val="004C2C45"/>
    <w:rsid w:val="00967A39"/>
    <w:rsid w:val="00B306F1"/>
    <w:rsid w:val="00D24193"/>
    <w:rsid w:val="00E84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F8BC4"/>
  <w15:chartTrackingRefBased/>
  <w15:docId w15:val="{CA3797E3-8FC7-4F55-BD85-806126E4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129"/>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C2C45"/>
    <w:rPr>
      <w:b/>
      <w:bCs/>
    </w:rPr>
  </w:style>
  <w:style w:type="paragraph" w:styleId="ListParagraph">
    <w:name w:val="List Paragraph"/>
    <w:basedOn w:val="Normal"/>
    <w:uiPriority w:val="34"/>
    <w:qFormat/>
    <w:rsid w:val="001C0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Yohimar A. Sivira G.</dc:creator>
  <cp:keywords/>
  <dc:description/>
  <cp:lastModifiedBy>Yohimar A. Sivira G.</cp:lastModifiedBy>
  <cp:revision>2</cp:revision>
  <dcterms:created xsi:type="dcterms:W3CDTF">2022-08-31T02:06:00Z</dcterms:created>
  <dcterms:modified xsi:type="dcterms:W3CDTF">2022-08-31T02:30:00Z</dcterms:modified>
</cp:coreProperties>
</file>