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62690" w14:textId="2D46170D" w:rsidR="001B2D08" w:rsidRPr="000C7C08" w:rsidRDefault="001B2D08" w:rsidP="001329D8">
      <w:pPr>
        <w:spacing w:after="0"/>
        <w:jc w:val="center"/>
        <w:rPr>
          <w:rFonts w:ascii="Times New Roman" w:hAnsi="Times New Roman" w:cs="Times New Roman"/>
          <w:b/>
          <w:bCs/>
        </w:rPr>
      </w:pPr>
      <w:bookmarkStart w:id="0" w:name="_Hlk54368803"/>
      <w:bookmarkEnd w:id="0"/>
      <w:r w:rsidRPr="000C7C08">
        <w:rPr>
          <w:rFonts w:ascii="Times New Roman" w:hAnsi="Times New Roman" w:cs="Times New Roman"/>
          <w:b/>
          <w:bCs/>
        </w:rPr>
        <w:t>Exploring the Grantmaker’s Role in Structuring Engagements Across Grantees: Peer Learning &amp; Networks</w:t>
      </w:r>
    </w:p>
    <w:p w14:paraId="25F24BAA" w14:textId="088F3BF0" w:rsidR="001B2D08" w:rsidRPr="000C7C08" w:rsidRDefault="001B2D08" w:rsidP="007028DA">
      <w:pPr>
        <w:spacing w:after="0"/>
        <w:jc w:val="center"/>
        <w:rPr>
          <w:rFonts w:ascii="Times New Roman" w:hAnsi="Times New Roman" w:cs="Times New Roman"/>
        </w:rPr>
      </w:pPr>
      <w:r w:rsidRPr="000C7C08">
        <w:rPr>
          <w:rFonts w:ascii="Times New Roman" w:hAnsi="Times New Roman" w:cs="Times New Roman"/>
        </w:rPr>
        <w:t>Summer 2020 SREE &amp; Ascendium Summer Research Fellowship</w:t>
      </w:r>
    </w:p>
    <w:p w14:paraId="5B4D7B11" w14:textId="74EF0DDC" w:rsidR="001B2D08" w:rsidRPr="000C7C08" w:rsidRDefault="001B2D08" w:rsidP="007028DA">
      <w:pPr>
        <w:pBdr>
          <w:bottom w:val="single" w:sz="6" w:space="1" w:color="auto"/>
        </w:pBdr>
        <w:spacing w:after="0"/>
        <w:jc w:val="center"/>
        <w:rPr>
          <w:rFonts w:ascii="Times New Roman" w:hAnsi="Times New Roman" w:cs="Times New Roman"/>
        </w:rPr>
      </w:pPr>
      <w:r w:rsidRPr="000C7C08">
        <w:rPr>
          <w:rFonts w:ascii="Times New Roman" w:hAnsi="Times New Roman" w:cs="Times New Roman"/>
        </w:rPr>
        <w:t>Rachel Williams</w:t>
      </w:r>
    </w:p>
    <w:p w14:paraId="6F971BCF" w14:textId="77777777" w:rsidR="000C7C08" w:rsidRDefault="000C7C08" w:rsidP="001B2D08">
      <w:pPr>
        <w:spacing w:after="0"/>
        <w:rPr>
          <w:rFonts w:ascii="Times New Roman" w:hAnsi="Times New Roman" w:cs="Times New Roman"/>
          <w:b/>
          <w:bCs/>
        </w:rPr>
      </w:pPr>
    </w:p>
    <w:p w14:paraId="45926807" w14:textId="4D3118F4" w:rsidR="00283A6E" w:rsidRPr="000C7C08" w:rsidRDefault="001B2D08" w:rsidP="001B2D08">
      <w:pPr>
        <w:spacing w:after="0"/>
        <w:rPr>
          <w:rFonts w:ascii="Times New Roman" w:hAnsi="Times New Roman" w:cs="Times New Roman"/>
          <w:b/>
          <w:bCs/>
        </w:rPr>
      </w:pPr>
      <w:r w:rsidRPr="000C7C08">
        <w:rPr>
          <w:rFonts w:ascii="Times New Roman" w:hAnsi="Times New Roman" w:cs="Times New Roman"/>
          <w:b/>
          <w:bCs/>
        </w:rPr>
        <w:t>Overview</w:t>
      </w:r>
    </w:p>
    <w:p w14:paraId="2E17B41A" w14:textId="20ECFDD4" w:rsidR="00AA7947" w:rsidRPr="000C7C08" w:rsidRDefault="001B2D08" w:rsidP="000C7C08">
      <w:pPr>
        <w:spacing w:after="0"/>
        <w:ind w:firstLine="720"/>
        <w:rPr>
          <w:rFonts w:ascii="Times New Roman" w:hAnsi="Times New Roman" w:cs="Times New Roman"/>
        </w:rPr>
      </w:pPr>
      <w:r w:rsidRPr="000C7C08">
        <w:rPr>
          <w:rFonts w:ascii="Times New Roman" w:hAnsi="Times New Roman" w:cs="Times New Roman"/>
        </w:rPr>
        <w:t>This project explores the literature on grantmaking strategies designed to facilitate</w:t>
      </w:r>
      <w:r w:rsidR="00E27AA9" w:rsidRPr="000C7C08">
        <w:rPr>
          <w:rFonts w:ascii="Times New Roman" w:hAnsi="Times New Roman" w:cs="Times New Roman"/>
        </w:rPr>
        <w:t xml:space="preserve"> peer</w:t>
      </w:r>
      <w:r w:rsidRPr="000C7C08">
        <w:rPr>
          <w:rFonts w:ascii="Times New Roman" w:hAnsi="Times New Roman" w:cs="Times New Roman"/>
        </w:rPr>
        <w:t xml:space="preserve"> learning, collaboration, and </w:t>
      </w:r>
      <w:r w:rsidR="00262756" w:rsidRPr="000C7C08">
        <w:rPr>
          <w:rFonts w:ascii="Times New Roman" w:hAnsi="Times New Roman" w:cs="Times New Roman"/>
        </w:rPr>
        <w:t xml:space="preserve">coordination </w:t>
      </w:r>
      <w:r w:rsidRPr="000C7C08">
        <w:rPr>
          <w:rFonts w:ascii="Times New Roman" w:hAnsi="Times New Roman" w:cs="Times New Roman"/>
        </w:rPr>
        <w:t>across grantees.</w:t>
      </w:r>
      <w:r w:rsidR="00E27AA9" w:rsidRPr="000C7C08">
        <w:rPr>
          <w:rFonts w:ascii="Times New Roman" w:hAnsi="Times New Roman" w:cs="Times New Roman"/>
        </w:rPr>
        <w:t xml:space="preserve"> F</w:t>
      </w:r>
      <w:bookmarkStart w:id="1" w:name="_Hlk54189616"/>
      <w:r w:rsidR="00E27AA9" w:rsidRPr="000C7C08">
        <w:rPr>
          <w:rFonts w:ascii="Times New Roman" w:hAnsi="Times New Roman" w:cs="Times New Roman"/>
        </w:rPr>
        <w:t xml:space="preserve">unders are in the unique position to </w:t>
      </w:r>
      <w:r w:rsidR="00262756" w:rsidRPr="000C7C08">
        <w:rPr>
          <w:rFonts w:ascii="Times New Roman" w:hAnsi="Times New Roman" w:cs="Times New Roman"/>
        </w:rPr>
        <w:t>identify</w:t>
      </w:r>
      <w:r w:rsidR="00E27AA9" w:rsidRPr="000C7C08">
        <w:rPr>
          <w:rFonts w:ascii="Times New Roman" w:hAnsi="Times New Roman" w:cs="Times New Roman"/>
        </w:rPr>
        <w:t xml:space="preserve"> and connect the landscape of organizations working at the nexus of fields, sectors, and issue areas. Many funders have experimented with ways to develop an infrastructure to formalize opportunities for their grantees to learn and collaborate with one another. This project synthesizes the affordances and critical design features of cohort grantmaking through a review of the literature. Then, communities of practice and network</w:t>
      </w:r>
      <w:r w:rsidR="00440A31" w:rsidRPr="000C7C08">
        <w:rPr>
          <w:rFonts w:ascii="Times New Roman" w:hAnsi="Times New Roman" w:cs="Times New Roman"/>
        </w:rPr>
        <w:t xml:space="preserve"> cultivation are</w:t>
      </w:r>
      <w:r w:rsidR="00E27AA9" w:rsidRPr="000C7C08">
        <w:rPr>
          <w:rFonts w:ascii="Times New Roman" w:hAnsi="Times New Roman" w:cs="Times New Roman"/>
        </w:rPr>
        <w:t xml:space="preserve"> </w:t>
      </w:r>
      <w:r w:rsidR="00440A31" w:rsidRPr="000C7C08">
        <w:rPr>
          <w:rFonts w:ascii="Times New Roman" w:hAnsi="Times New Roman" w:cs="Times New Roman"/>
        </w:rPr>
        <w:t>explored</w:t>
      </w:r>
      <w:r w:rsidR="00E27AA9" w:rsidRPr="000C7C08">
        <w:rPr>
          <w:rFonts w:ascii="Times New Roman" w:hAnsi="Times New Roman" w:cs="Times New Roman"/>
        </w:rPr>
        <w:t xml:space="preserve"> as</w:t>
      </w:r>
      <w:r w:rsidR="00440A31" w:rsidRPr="000C7C08">
        <w:rPr>
          <w:rFonts w:ascii="Times New Roman" w:hAnsi="Times New Roman" w:cs="Times New Roman"/>
        </w:rPr>
        <w:t xml:space="preserve"> potential frameworks and approaches to designing grantmaking strategies that center peer learning and connectivity. The project concludes with five lessons and themes from three interviews with grantmakers implementing cohort or similar strategies</w:t>
      </w:r>
      <w:bookmarkEnd w:id="1"/>
      <w:r w:rsidR="00440A31" w:rsidRPr="000C7C08">
        <w:rPr>
          <w:rFonts w:ascii="Times New Roman" w:hAnsi="Times New Roman" w:cs="Times New Roman"/>
        </w:rPr>
        <w:t xml:space="preserve">. This project provides grantmakers with a review of the literature on cohort grantmaking and other relevant frameworks that can strengthen the funder’s </w:t>
      </w:r>
      <w:r w:rsidR="007028DA" w:rsidRPr="000C7C08">
        <w:rPr>
          <w:rFonts w:ascii="Times New Roman" w:hAnsi="Times New Roman" w:cs="Times New Roman"/>
        </w:rPr>
        <w:t xml:space="preserve">impact and </w:t>
      </w:r>
      <w:r w:rsidR="00440A31" w:rsidRPr="000C7C08">
        <w:rPr>
          <w:rFonts w:ascii="Times New Roman" w:hAnsi="Times New Roman" w:cs="Times New Roman"/>
        </w:rPr>
        <w:t>objectives by building the capacity of grantees to advance their individual mission or increas</w:t>
      </w:r>
      <w:r w:rsidR="007028DA" w:rsidRPr="000C7C08">
        <w:rPr>
          <w:rFonts w:ascii="Times New Roman" w:hAnsi="Times New Roman" w:cs="Times New Roman"/>
        </w:rPr>
        <w:t>ing t</w:t>
      </w:r>
      <w:r w:rsidR="00440A31" w:rsidRPr="000C7C08">
        <w:rPr>
          <w:rFonts w:ascii="Times New Roman" w:hAnsi="Times New Roman" w:cs="Times New Roman"/>
        </w:rPr>
        <w:t xml:space="preserve">he coordination of many grantees working at the nexus of fields, sectors, or issue areas. </w:t>
      </w:r>
    </w:p>
    <w:p w14:paraId="09EAA89C" w14:textId="67140E92" w:rsidR="00AA7947" w:rsidRPr="000C7C08" w:rsidRDefault="00AA7947" w:rsidP="001329D8">
      <w:pPr>
        <w:spacing w:after="0"/>
        <w:ind w:firstLine="720"/>
        <w:rPr>
          <w:rFonts w:ascii="Times New Roman" w:hAnsi="Times New Roman" w:cs="Times New Roman"/>
        </w:rPr>
      </w:pPr>
      <w:r w:rsidRPr="000C7C08">
        <w:rPr>
          <w:rFonts w:ascii="Times New Roman" w:hAnsi="Times New Roman" w:cs="Times New Roman"/>
        </w:rPr>
        <w:t>Cohort strategies are typically designed to provide peer learning across grantees to strengthen the capacity of individual organizations to advance their mission or as a mechanism to support skill building for a collaborative project. The structure of cohort grantmaking can vary from ongoing, optional programming for existing multi-year grantees; a new cohort-based multi-year grant program; or short-term capacity-building programming for a collaborative project. Throughout the literature, critical design features emerged that were linked to positive implementation of cohort grantmaking strategies. In what follows, the design features from the literature are briefly discussed.</w:t>
      </w:r>
      <w:r w:rsidR="00B3454D">
        <w:rPr>
          <w:rFonts w:ascii="Times New Roman" w:hAnsi="Times New Roman" w:cs="Times New Roman"/>
        </w:rPr>
        <w:t xml:space="preserve"> </w:t>
      </w:r>
    </w:p>
    <w:p w14:paraId="2DAABB92" w14:textId="5E651B57" w:rsidR="00AA7947" w:rsidRPr="000C7C08" w:rsidRDefault="00AA7947" w:rsidP="00DA6700">
      <w:pPr>
        <w:spacing w:after="0"/>
        <w:rPr>
          <w:rFonts w:ascii="Times New Roman" w:hAnsi="Times New Roman" w:cs="Times New Roman"/>
          <w:b/>
          <w:bCs/>
        </w:rPr>
      </w:pPr>
    </w:p>
    <w:p w14:paraId="67D6C6E6" w14:textId="4B931DEF" w:rsidR="00AA7947" w:rsidRPr="000C7C08" w:rsidRDefault="00AA7947" w:rsidP="00DA6700">
      <w:pPr>
        <w:spacing w:after="0"/>
        <w:rPr>
          <w:rFonts w:ascii="Times New Roman" w:hAnsi="Times New Roman" w:cs="Times New Roman"/>
          <w:b/>
          <w:bCs/>
        </w:rPr>
      </w:pPr>
      <w:r w:rsidRPr="000C7C08">
        <w:rPr>
          <w:rFonts w:ascii="Times New Roman" w:hAnsi="Times New Roman" w:cs="Times New Roman"/>
          <w:b/>
          <w:bCs/>
        </w:rPr>
        <w:t>Key Findings</w:t>
      </w:r>
    </w:p>
    <w:p w14:paraId="0744D3F3" w14:textId="12A9CDCB" w:rsidR="00B166C0" w:rsidRDefault="00930F69" w:rsidP="00B166C0">
      <w:pPr>
        <w:pStyle w:val="ListParagraph"/>
        <w:numPr>
          <w:ilvl w:val="0"/>
          <w:numId w:val="5"/>
        </w:numPr>
        <w:spacing w:after="0"/>
        <w:rPr>
          <w:rFonts w:ascii="Times New Roman" w:hAnsi="Times New Roman" w:cs="Times New Roman"/>
        </w:rPr>
      </w:pPr>
      <w:r w:rsidRPr="00930F69">
        <w:rPr>
          <w:rFonts w:ascii="Times New Roman" w:hAnsi="Times New Roman" w:cs="Times New Roman"/>
          <w:b/>
          <w:bCs/>
        </w:rPr>
        <w:t>Co-Construct Program Design</w:t>
      </w:r>
      <w:r w:rsidRPr="00930F69">
        <w:rPr>
          <w:rFonts w:ascii="Times New Roman" w:hAnsi="Times New Roman" w:cs="Times New Roman"/>
        </w:rPr>
        <w:t xml:space="preserve"> </w:t>
      </w:r>
      <w:r w:rsidRPr="00930F69">
        <w:rPr>
          <w:rFonts w:ascii="Times New Roman" w:hAnsi="Times New Roman" w:cs="Times New Roman"/>
          <w:b/>
          <w:bCs/>
        </w:rPr>
        <w:t>&amp; Learning Opportunities</w:t>
      </w:r>
      <w:r>
        <w:rPr>
          <w:rFonts w:ascii="Times New Roman" w:hAnsi="Times New Roman" w:cs="Times New Roman"/>
          <w:b/>
          <w:bCs/>
        </w:rPr>
        <w:t xml:space="preserve"> with Grantees</w:t>
      </w:r>
      <w:r w:rsidRPr="00930F69">
        <w:rPr>
          <w:rFonts w:ascii="Times New Roman" w:hAnsi="Times New Roman" w:cs="Times New Roman"/>
        </w:rPr>
        <w:t xml:space="preserve">. </w:t>
      </w:r>
      <w:r w:rsidR="00B166C0">
        <w:rPr>
          <w:rFonts w:ascii="Times New Roman" w:hAnsi="Times New Roman" w:cs="Times New Roman"/>
        </w:rPr>
        <w:t>T</w:t>
      </w:r>
      <w:r w:rsidR="00DA6700" w:rsidRPr="00B166C0">
        <w:rPr>
          <w:rFonts w:ascii="Times New Roman" w:hAnsi="Times New Roman" w:cs="Times New Roman"/>
        </w:rPr>
        <w:t xml:space="preserve">he design of cohort programming typically emerges from evaluations or one on one discussions with </w:t>
      </w:r>
      <w:r w:rsidR="00DA6700" w:rsidRPr="00B166C0">
        <w:rPr>
          <w:rFonts w:ascii="Times New Roman" w:hAnsi="Times New Roman" w:cs="Times New Roman"/>
        </w:rPr>
        <w:t xml:space="preserve">previous or current </w:t>
      </w:r>
      <w:r w:rsidR="00DA6700" w:rsidRPr="00B166C0">
        <w:rPr>
          <w:rFonts w:ascii="Times New Roman" w:hAnsi="Times New Roman" w:cs="Times New Roman"/>
        </w:rPr>
        <w:t>grantees.</w:t>
      </w:r>
      <w:r w:rsidR="00DA6700" w:rsidRPr="00B166C0">
        <w:rPr>
          <w:rFonts w:ascii="Times New Roman" w:hAnsi="Times New Roman" w:cs="Times New Roman"/>
        </w:rPr>
        <w:t xml:space="preserve"> </w:t>
      </w:r>
      <w:r w:rsidR="00DA6700" w:rsidRPr="00B166C0">
        <w:rPr>
          <w:rFonts w:ascii="Times New Roman" w:hAnsi="Times New Roman" w:cs="Times New Roman"/>
        </w:rPr>
        <w:t>Many capacity-building cohort-based programs developed based on patterns, feedback, and themes that emerged from traditional grantmaking (Devine, 2016; Francis et al., 2018).</w:t>
      </w:r>
      <w:r w:rsidR="00DA6700" w:rsidRPr="00B166C0">
        <w:rPr>
          <w:rFonts w:ascii="Times New Roman" w:hAnsi="Times New Roman" w:cs="Times New Roman"/>
        </w:rPr>
        <w:t xml:space="preserve"> </w:t>
      </w:r>
      <w:r w:rsidR="00DA6700" w:rsidRPr="00B166C0">
        <w:rPr>
          <w:rFonts w:ascii="Times New Roman" w:hAnsi="Times New Roman" w:cs="Times New Roman"/>
        </w:rPr>
        <w:t>Funders considering cohort grantmaking can begin by exploring feedback from previous grantees about the potential value of peer learning as well as any common themes related to organizational challenges that provide insights on potential content areas that may resonate with grantees for future peer learning opportunities</w:t>
      </w:r>
      <w:r w:rsidR="00DA6700" w:rsidRPr="00B166C0">
        <w:rPr>
          <w:rFonts w:ascii="Times New Roman" w:hAnsi="Times New Roman" w:cs="Times New Roman"/>
        </w:rPr>
        <w:t>.</w:t>
      </w:r>
      <w:r>
        <w:rPr>
          <w:rFonts w:ascii="Times New Roman" w:hAnsi="Times New Roman" w:cs="Times New Roman"/>
        </w:rPr>
        <w:t xml:space="preserve"> Additionally, </w:t>
      </w:r>
      <w:r w:rsidRPr="00930F69">
        <w:rPr>
          <w:rFonts w:ascii="Times New Roman" w:hAnsi="Times New Roman" w:cs="Times New Roman"/>
        </w:rPr>
        <w:t>funders report positive participant outcomes when the substance and content of programming is co-constructed with grantees (Francis et al., 2018; Packard, 2018; Reich, 2018)</w:t>
      </w:r>
    </w:p>
    <w:p w14:paraId="408793A1" w14:textId="5F6B3E91" w:rsidR="00B166C0" w:rsidRDefault="00930F69" w:rsidP="00B166C0">
      <w:pPr>
        <w:pStyle w:val="ListParagraph"/>
        <w:numPr>
          <w:ilvl w:val="0"/>
          <w:numId w:val="5"/>
        </w:numPr>
        <w:spacing w:after="0"/>
        <w:rPr>
          <w:rFonts w:ascii="Times New Roman" w:hAnsi="Times New Roman" w:cs="Times New Roman"/>
        </w:rPr>
      </w:pPr>
      <w:r w:rsidRPr="00930F69">
        <w:rPr>
          <w:rFonts w:ascii="Times New Roman" w:hAnsi="Times New Roman" w:cs="Times New Roman"/>
          <w:b/>
          <w:bCs/>
        </w:rPr>
        <w:t>Organizational</w:t>
      </w:r>
      <w:r w:rsidRPr="00930F69">
        <w:rPr>
          <w:rFonts w:ascii="Times New Roman" w:hAnsi="Times New Roman" w:cs="Times New Roman"/>
          <w:b/>
          <w:bCs/>
        </w:rPr>
        <w:t xml:space="preserve"> Readiness Translates to Impact</w:t>
      </w:r>
      <w:r>
        <w:rPr>
          <w:rFonts w:ascii="Times New Roman" w:hAnsi="Times New Roman" w:cs="Times New Roman"/>
        </w:rPr>
        <w:t>.</w:t>
      </w:r>
      <w:r w:rsidRPr="00930F69">
        <w:rPr>
          <w:rFonts w:ascii="Times New Roman" w:hAnsi="Times New Roman" w:cs="Times New Roman"/>
        </w:rPr>
        <w:t xml:space="preserve"> </w:t>
      </w:r>
      <w:r w:rsidR="00B166C0">
        <w:rPr>
          <w:rFonts w:ascii="Times New Roman" w:hAnsi="Times New Roman" w:cs="Times New Roman"/>
        </w:rPr>
        <w:t>G</w:t>
      </w:r>
      <w:r w:rsidR="00DA6700" w:rsidRPr="00B166C0">
        <w:rPr>
          <w:rFonts w:ascii="Times New Roman" w:hAnsi="Times New Roman" w:cs="Times New Roman"/>
        </w:rPr>
        <w:t>rantees whose leaders previously committed to improving financial capacity prior to cohort grant program achieved higher levels of progress on best-practice indicators, suggesting that organizational commitment to improve the content area may be important to assess as a readiness factor that meaningfully translates to the implementation of cohort-based capacity building training (Devine, 2016)</w:t>
      </w:r>
      <w:r w:rsidR="00DA6700" w:rsidRPr="00B166C0">
        <w:rPr>
          <w:rFonts w:ascii="Times New Roman" w:hAnsi="Times New Roman" w:cs="Times New Roman"/>
        </w:rPr>
        <w:t xml:space="preserve">. </w:t>
      </w:r>
      <w:r w:rsidR="00A95A37" w:rsidRPr="00B166C0">
        <w:rPr>
          <w:rFonts w:ascii="Times New Roman" w:hAnsi="Times New Roman" w:cs="Times New Roman"/>
        </w:rPr>
        <w:t xml:space="preserve">Funders assess readiness by </w:t>
      </w:r>
      <w:r w:rsidR="00AA7947" w:rsidRPr="00B166C0">
        <w:rPr>
          <w:rFonts w:ascii="Times New Roman" w:hAnsi="Times New Roman" w:cs="Times New Roman"/>
        </w:rPr>
        <w:t>changing the</w:t>
      </w:r>
      <w:r w:rsidR="00A95A37" w:rsidRPr="00B166C0">
        <w:rPr>
          <w:rFonts w:ascii="Times New Roman" w:hAnsi="Times New Roman" w:cs="Times New Roman"/>
        </w:rPr>
        <w:t xml:space="preserve"> r</w:t>
      </w:r>
      <w:r w:rsidR="00DA6700" w:rsidRPr="00B166C0">
        <w:rPr>
          <w:rFonts w:ascii="Times New Roman" w:hAnsi="Times New Roman" w:cs="Times New Roman"/>
        </w:rPr>
        <w:t xml:space="preserve">equest for </w:t>
      </w:r>
      <w:r w:rsidR="00A95A37" w:rsidRPr="00B166C0">
        <w:rPr>
          <w:rFonts w:ascii="Times New Roman" w:hAnsi="Times New Roman" w:cs="Times New Roman"/>
        </w:rPr>
        <w:t>p</w:t>
      </w:r>
      <w:r w:rsidR="00DA6700" w:rsidRPr="00B166C0">
        <w:rPr>
          <w:rFonts w:ascii="Times New Roman" w:hAnsi="Times New Roman" w:cs="Times New Roman"/>
        </w:rPr>
        <w:t xml:space="preserve">roposals process </w:t>
      </w:r>
      <w:r w:rsidR="00AA7947" w:rsidRPr="00B166C0">
        <w:rPr>
          <w:rFonts w:ascii="Times New Roman" w:hAnsi="Times New Roman" w:cs="Times New Roman"/>
        </w:rPr>
        <w:t xml:space="preserve">or developing strategic goals and extending invitations to selected grantees (Francis et al., 2018; Reich, 2018). </w:t>
      </w:r>
    </w:p>
    <w:p w14:paraId="6707EF94" w14:textId="4177DC2B" w:rsidR="00B166C0" w:rsidRDefault="00930F69" w:rsidP="00B166C0">
      <w:pPr>
        <w:pStyle w:val="ListParagraph"/>
        <w:numPr>
          <w:ilvl w:val="0"/>
          <w:numId w:val="5"/>
        </w:numPr>
        <w:spacing w:after="0"/>
        <w:rPr>
          <w:rFonts w:ascii="Times New Roman" w:hAnsi="Times New Roman" w:cs="Times New Roman"/>
        </w:rPr>
      </w:pPr>
      <w:r w:rsidRPr="00930F69">
        <w:rPr>
          <w:rFonts w:ascii="Times New Roman" w:hAnsi="Times New Roman" w:cs="Times New Roman"/>
          <w:b/>
          <w:bCs/>
        </w:rPr>
        <w:t>Implement Strategies for Sustained Cohort Engagement.</w:t>
      </w:r>
      <w:r>
        <w:rPr>
          <w:rFonts w:ascii="Times New Roman" w:hAnsi="Times New Roman" w:cs="Times New Roman"/>
        </w:rPr>
        <w:t xml:space="preserve"> </w:t>
      </w:r>
      <w:r w:rsidR="00B166C0">
        <w:rPr>
          <w:rFonts w:ascii="Times New Roman" w:hAnsi="Times New Roman" w:cs="Times New Roman"/>
        </w:rPr>
        <w:t>F</w:t>
      </w:r>
      <w:r w:rsidR="00283A6E" w:rsidRPr="00B166C0">
        <w:rPr>
          <w:rFonts w:ascii="Times New Roman" w:hAnsi="Times New Roman" w:cs="Times New Roman"/>
        </w:rPr>
        <w:t>unders reported that sustained engagement beyond the grant cycle was more likely to occur when organizations worked in geographic proximity (Packard, 2018) and evaluations evidenced that geographic clusters helped cultivate a sense of collective work and resulted in a network to a greater extent t</w:t>
      </w:r>
      <w:r w:rsidR="00283A6E" w:rsidRPr="00B166C0">
        <w:rPr>
          <w:rFonts w:ascii="Times New Roman" w:hAnsi="Times New Roman" w:cs="Times New Roman"/>
        </w:rPr>
        <w:t>han</w:t>
      </w:r>
      <w:r w:rsidR="00283A6E" w:rsidRPr="00B166C0">
        <w:rPr>
          <w:rFonts w:ascii="Times New Roman" w:hAnsi="Times New Roman" w:cs="Times New Roman"/>
        </w:rPr>
        <w:t xml:space="preserve"> a non-regional focus (Taddy-Sandino et al., 2019).</w:t>
      </w:r>
      <w:r w:rsidR="00283A6E" w:rsidRPr="00B166C0">
        <w:rPr>
          <w:rFonts w:ascii="Times New Roman" w:hAnsi="Times New Roman" w:cs="Times New Roman"/>
        </w:rPr>
        <w:t xml:space="preserve"> In addition to</w:t>
      </w:r>
      <w:r w:rsidR="00283A6E" w:rsidRPr="00B166C0">
        <w:rPr>
          <w:rFonts w:ascii="Times New Roman" w:hAnsi="Times New Roman" w:cs="Times New Roman"/>
        </w:rPr>
        <w:t xml:space="preserve"> geography, </w:t>
      </w:r>
      <w:r w:rsidR="00AA7947" w:rsidRPr="00B166C0">
        <w:rPr>
          <w:rFonts w:ascii="Times New Roman" w:hAnsi="Times New Roman" w:cs="Times New Roman"/>
        </w:rPr>
        <w:t xml:space="preserve">utilizing </w:t>
      </w:r>
      <w:r w:rsidR="00283A6E" w:rsidRPr="00B166C0">
        <w:rPr>
          <w:rFonts w:ascii="Times New Roman" w:hAnsi="Times New Roman" w:cs="Times New Roman"/>
        </w:rPr>
        <w:t xml:space="preserve">field-specific gatherings </w:t>
      </w:r>
      <w:r w:rsidR="00AA7947" w:rsidRPr="00B166C0">
        <w:rPr>
          <w:rFonts w:ascii="Times New Roman" w:hAnsi="Times New Roman" w:cs="Times New Roman"/>
        </w:rPr>
        <w:t xml:space="preserve">as cohort engagement opportunities </w:t>
      </w:r>
      <w:r w:rsidR="00283A6E" w:rsidRPr="00B166C0">
        <w:rPr>
          <w:rFonts w:ascii="Times New Roman" w:hAnsi="Times New Roman" w:cs="Times New Roman"/>
        </w:rPr>
        <w:t xml:space="preserve">and collaborative approaches as the capacity-building focus </w:t>
      </w:r>
      <w:r w:rsidR="00AA7947" w:rsidRPr="00B166C0">
        <w:rPr>
          <w:rFonts w:ascii="Times New Roman" w:hAnsi="Times New Roman" w:cs="Times New Roman"/>
        </w:rPr>
        <w:t xml:space="preserve">(e.g., collective impact training) </w:t>
      </w:r>
      <w:r w:rsidR="00283A6E" w:rsidRPr="00B166C0">
        <w:rPr>
          <w:rFonts w:ascii="Times New Roman" w:hAnsi="Times New Roman" w:cs="Times New Roman"/>
        </w:rPr>
        <w:t xml:space="preserve">are levers to </w:t>
      </w:r>
      <w:r w:rsidR="00283A6E" w:rsidRPr="00B166C0">
        <w:rPr>
          <w:rFonts w:ascii="Times New Roman" w:hAnsi="Times New Roman" w:cs="Times New Roman"/>
        </w:rPr>
        <w:t xml:space="preserve">structure cohorts to sustain relationships </w:t>
      </w:r>
      <w:r w:rsidR="00283A6E" w:rsidRPr="00B166C0">
        <w:rPr>
          <w:rFonts w:ascii="Times New Roman" w:hAnsi="Times New Roman" w:cs="Times New Roman"/>
        </w:rPr>
        <w:t xml:space="preserve">beyond </w:t>
      </w:r>
      <w:r w:rsidR="00AA7947" w:rsidRPr="00B166C0">
        <w:rPr>
          <w:rFonts w:ascii="Times New Roman" w:hAnsi="Times New Roman" w:cs="Times New Roman"/>
        </w:rPr>
        <w:t xml:space="preserve">funder organized </w:t>
      </w:r>
      <w:r w:rsidR="00283A6E" w:rsidRPr="00B166C0">
        <w:rPr>
          <w:rFonts w:ascii="Times New Roman" w:hAnsi="Times New Roman" w:cs="Times New Roman"/>
        </w:rPr>
        <w:t xml:space="preserve">convenings. </w:t>
      </w:r>
    </w:p>
    <w:p w14:paraId="75ACA02C" w14:textId="14595D8F" w:rsidR="00B166C0" w:rsidRDefault="00930F69" w:rsidP="00B166C0">
      <w:pPr>
        <w:pStyle w:val="ListParagraph"/>
        <w:numPr>
          <w:ilvl w:val="0"/>
          <w:numId w:val="5"/>
        </w:numPr>
        <w:spacing w:after="0"/>
        <w:rPr>
          <w:rFonts w:ascii="Times New Roman" w:hAnsi="Times New Roman" w:cs="Times New Roman"/>
        </w:rPr>
      </w:pPr>
      <w:r w:rsidRPr="00930F69">
        <w:rPr>
          <w:rFonts w:ascii="Times New Roman" w:hAnsi="Times New Roman" w:cs="Times New Roman"/>
          <w:b/>
          <w:bCs/>
        </w:rPr>
        <w:t>Maximize Virtual Programming with Certain Conditions</w:t>
      </w:r>
      <w:r>
        <w:rPr>
          <w:rFonts w:ascii="Times New Roman" w:hAnsi="Times New Roman" w:cs="Times New Roman"/>
        </w:rPr>
        <w:t xml:space="preserve">. </w:t>
      </w:r>
      <w:r w:rsidR="00B166C0">
        <w:rPr>
          <w:rFonts w:ascii="Times New Roman" w:hAnsi="Times New Roman" w:cs="Times New Roman"/>
        </w:rPr>
        <w:t>T</w:t>
      </w:r>
      <w:r w:rsidR="00283A6E" w:rsidRPr="00B166C0">
        <w:rPr>
          <w:rFonts w:ascii="Times New Roman" w:hAnsi="Times New Roman" w:cs="Times New Roman"/>
        </w:rPr>
        <w:t>he value and affordances of in-person meetings resonates</w:t>
      </w:r>
      <w:r w:rsidR="00AA7947" w:rsidRPr="00B166C0">
        <w:rPr>
          <w:rFonts w:ascii="Times New Roman" w:hAnsi="Times New Roman" w:cs="Times New Roman"/>
        </w:rPr>
        <w:t xml:space="preserve"> even in the context of well-designed </w:t>
      </w:r>
      <w:r w:rsidR="00283A6E" w:rsidRPr="00B166C0">
        <w:rPr>
          <w:rFonts w:ascii="Times New Roman" w:hAnsi="Times New Roman" w:cs="Times New Roman"/>
        </w:rPr>
        <w:t>virtual cohort p</w:t>
      </w:r>
      <w:r w:rsidR="00AA7947" w:rsidRPr="00B166C0">
        <w:rPr>
          <w:rFonts w:ascii="Times New Roman" w:hAnsi="Times New Roman" w:cs="Times New Roman"/>
        </w:rPr>
        <w:t>rogramming (Bradley et al., 2017)</w:t>
      </w:r>
      <w:r w:rsidR="00283A6E" w:rsidRPr="00B166C0">
        <w:rPr>
          <w:rFonts w:ascii="Times New Roman" w:hAnsi="Times New Roman" w:cs="Times New Roman"/>
        </w:rPr>
        <w:t>.</w:t>
      </w:r>
      <w:r w:rsidR="00283A6E" w:rsidRPr="00B166C0">
        <w:rPr>
          <w:rFonts w:ascii="Times New Roman" w:hAnsi="Times New Roman" w:cs="Times New Roman"/>
        </w:rPr>
        <w:t xml:space="preserve"> However, the </w:t>
      </w:r>
      <w:bookmarkStart w:id="2" w:name="_Hlk54190784"/>
      <w:r w:rsidR="00283A6E" w:rsidRPr="00B166C0">
        <w:rPr>
          <w:rFonts w:ascii="Times New Roman" w:hAnsi="Times New Roman" w:cs="Times New Roman"/>
        </w:rPr>
        <w:t>a</w:t>
      </w:r>
      <w:r w:rsidR="00262756" w:rsidRPr="00B166C0">
        <w:rPr>
          <w:rFonts w:ascii="Times New Roman" w:hAnsi="Times New Roman" w:cs="Times New Roman"/>
        </w:rPr>
        <w:t>ffordance</w:t>
      </w:r>
      <w:r w:rsidR="00283A6E" w:rsidRPr="00B166C0">
        <w:rPr>
          <w:rFonts w:ascii="Times New Roman" w:hAnsi="Times New Roman" w:cs="Times New Roman"/>
        </w:rPr>
        <w:t>s</w:t>
      </w:r>
      <w:r w:rsidR="00262756" w:rsidRPr="00B166C0">
        <w:rPr>
          <w:rFonts w:ascii="Times New Roman" w:hAnsi="Times New Roman" w:cs="Times New Roman"/>
        </w:rPr>
        <w:t xml:space="preserve"> of virtual programming </w:t>
      </w:r>
      <w:r w:rsidR="00283A6E" w:rsidRPr="00B166C0">
        <w:rPr>
          <w:rFonts w:ascii="Times New Roman" w:hAnsi="Times New Roman" w:cs="Times New Roman"/>
        </w:rPr>
        <w:t>can be maximized under</w:t>
      </w:r>
      <w:r w:rsidR="00262756" w:rsidRPr="00B166C0">
        <w:rPr>
          <w:rFonts w:ascii="Times New Roman" w:hAnsi="Times New Roman" w:cs="Times New Roman"/>
        </w:rPr>
        <w:t xml:space="preserve"> certain conditions: </w:t>
      </w:r>
      <w:r w:rsidR="00283A6E" w:rsidRPr="00B166C0">
        <w:rPr>
          <w:rFonts w:ascii="Times New Roman" w:hAnsi="Times New Roman" w:cs="Times New Roman"/>
        </w:rPr>
        <w:t>s</w:t>
      </w:r>
      <w:r w:rsidR="00262756" w:rsidRPr="00B166C0">
        <w:rPr>
          <w:rFonts w:ascii="Times New Roman" w:hAnsi="Times New Roman" w:cs="Times New Roman"/>
        </w:rPr>
        <w:t xml:space="preserve">ynchronous </w:t>
      </w:r>
      <w:r w:rsidR="004B62A2" w:rsidRPr="00B166C0">
        <w:rPr>
          <w:rFonts w:ascii="Times New Roman" w:hAnsi="Times New Roman" w:cs="Times New Roman"/>
        </w:rPr>
        <w:t>meetings</w:t>
      </w:r>
      <w:r w:rsidR="002733FF" w:rsidRPr="00B166C0">
        <w:rPr>
          <w:rFonts w:ascii="Times New Roman" w:hAnsi="Times New Roman" w:cs="Times New Roman"/>
        </w:rPr>
        <w:t>; small group</w:t>
      </w:r>
      <w:r w:rsidR="00283A6E" w:rsidRPr="00B166C0">
        <w:rPr>
          <w:rFonts w:ascii="Times New Roman" w:hAnsi="Times New Roman" w:cs="Times New Roman"/>
        </w:rPr>
        <w:t xml:space="preserve">s with stable </w:t>
      </w:r>
      <w:r w:rsidR="004B62A2" w:rsidRPr="00B166C0">
        <w:rPr>
          <w:rFonts w:ascii="Times New Roman" w:hAnsi="Times New Roman" w:cs="Times New Roman"/>
        </w:rPr>
        <w:t>participants</w:t>
      </w:r>
      <w:r w:rsidR="00283A6E" w:rsidRPr="00B166C0">
        <w:rPr>
          <w:rFonts w:ascii="Times New Roman" w:hAnsi="Times New Roman" w:cs="Times New Roman"/>
        </w:rPr>
        <w:t xml:space="preserve">; </w:t>
      </w:r>
      <w:r w:rsidR="004B62A2" w:rsidRPr="00B166C0">
        <w:rPr>
          <w:rFonts w:ascii="Times New Roman" w:hAnsi="Times New Roman" w:cs="Times New Roman"/>
        </w:rPr>
        <w:t xml:space="preserve">and </w:t>
      </w:r>
      <w:r w:rsidR="00262756" w:rsidRPr="00B166C0">
        <w:rPr>
          <w:rFonts w:ascii="Times New Roman" w:hAnsi="Times New Roman" w:cs="Times New Roman"/>
        </w:rPr>
        <w:t xml:space="preserve">trained facilitators </w:t>
      </w:r>
      <w:r w:rsidR="00283A6E" w:rsidRPr="00B166C0">
        <w:rPr>
          <w:rFonts w:ascii="Times New Roman" w:hAnsi="Times New Roman" w:cs="Times New Roman"/>
        </w:rPr>
        <w:t>to establish</w:t>
      </w:r>
      <w:r w:rsidR="004B62A2" w:rsidRPr="00B166C0">
        <w:rPr>
          <w:rFonts w:ascii="Times New Roman" w:hAnsi="Times New Roman" w:cs="Times New Roman"/>
        </w:rPr>
        <w:t xml:space="preserve"> and facilitate virtual</w:t>
      </w:r>
      <w:r w:rsidR="00283A6E" w:rsidRPr="00B166C0">
        <w:rPr>
          <w:rFonts w:ascii="Times New Roman" w:hAnsi="Times New Roman" w:cs="Times New Roman"/>
        </w:rPr>
        <w:t xml:space="preserve"> group culture (Bradley et al., 2017). The key to maximizing virtual platforms is about structuring the setting for interaction and relationship cultivation</w:t>
      </w:r>
      <w:r w:rsidR="004B62A2" w:rsidRPr="00B166C0">
        <w:rPr>
          <w:rFonts w:ascii="Times New Roman" w:hAnsi="Times New Roman" w:cs="Times New Roman"/>
        </w:rPr>
        <w:t xml:space="preserve">. </w:t>
      </w:r>
    </w:p>
    <w:p w14:paraId="7A9CD4A3" w14:textId="7DB1F8C7" w:rsidR="000C7C08" w:rsidRPr="00930F69" w:rsidRDefault="00930F69" w:rsidP="00B166C0">
      <w:pPr>
        <w:pStyle w:val="ListParagraph"/>
        <w:numPr>
          <w:ilvl w:val="0"/>
          <w:numId w:val="5"/>
        </w:numPr>
        <w:spacing w:after="0"/>
        <w:rPr>
          <w:rFonts w:ascii="Times New Roman" w:hAnsi="Times New Roman" w:cs="Times New Roman"/>
        </w:rPr>
      </w:pPr>
      <w:r w:rsidRPr="00930F69">
        <w:rPr>
          <w:rFonts w:ascii="Times New Roman" w:hAnsi="Times New Roman" w:cs="Times New Roman"/>
          <w:b/>
          <w:bCs/>
        </w:rPr>
        <w:t xml:space="preserve">Funding </w:t>
      </w:r>
      <w:r>
        <w:rPr>
          <w:rFonts w:ascii="Times New Roman" w:hAnsi="Times New Roman" w:cs="Times New Roman"/>
          <w:b/>
          <w:bCs/>
        </w:rPr>
        <w:t xml:space="preserve">Shapes </w:t>
      </w:r>
      <w:r w:rsidRPr="00930F69">
        <w:rPr>
          <w:rFonts w:ascii="Times New Roman" w:hAnsi="Times New Roman" w:cs="Times New Roman"/>
          <w:b/>
          <w:bCs/>
        </w:rPr>
        <w:t>Impact</w:t>
      </w:r>
      <w:r w:rsidRPr="00930F69">
        <w:rPr>
          <w:rFonts w:ascii="Times New Roman" w:hAnsi="Times New Roman" w:cs="Times New Roman"/>
        </w:rPr>
        <w:t xml:space="preserve">. </w:t>
      </w:r>
      <w:r w:rsidR="00B166C0" w:rsidRPr="00930F69">
        <w:rPr>
          <w:rFonts w:ascii="Times New Roman" w:hAnsi="Times New Roman" w:cs="Times New Roman"/>
        </w:rPr>
        <w:t>C</w:t>
      </w:r>
      <w:r w:rsidR="004B62A2" w:rsidRPr="00930F69">
        <w:rPr>
          <w:rFonts w:ascii="Times New Roman" w:hAnsi="Times New Roman" w:cs="Times New Roman"/>
        </w:rPr>
        <w:t>ohort grantmaking requires funding considerations that can support impact.</w:t>
      </w:r>
      <w:r w:rsidR="00E56EE4" w:rsidRPr="00930F69">
        <w:rPr>
          <w:rFonts w:ascii="Times New Roman" w:hAnsi="Times New Roman" w:cs="Times New Roman"/>
        </w:rPr>
        <w:t xml:space="preserve"> </w:t>
      </w:r>
      <w:r w:rsidR="00E56EE4" w:rsidRPr="00930F69">
        <w:rPr>
          <w:rFonts w:ascii="Times New Roman" w:hAnsi="Times New Roman" w:cs="Times New Roman"/>
        </w:rPr>
        <w:t xml:space="preserve">Through the implementation and evaluation of the two models, </w:t>
      </w:r>
      <w:r w:rsidR="00E56EE4" w:rsidRPr="00930F69">
        <w:rPr>
          <w:rFonts w:ascii="Times New Roman" w:hAnsi="Times New Roman" w:cs="Times New Roman"/>
        </w:rPr>
        <w:t>a</w:t>
      </w:r>
      <w:r w:rsidR="00E56EE4" w:rsidRPr="00930F69">
        <w:rPr>
          <w:rFonts w:ascii="Times New Roman" w:hAnsi="Times New Roman" w:cs="Times New Roman"/>
        </w:rPr>
        <w:t xml:space="preserve"> foundation learned that group training and coaching with a lower funding threshold is just as effective in building capacity as individualized training with higher levels of financial support, suggesting that the group learning environment may facilitate similar outcomes with lower financial support (Devine, 2016). </w:t>
      </w:r>
      <w:r w:rsidR="00E56EE4" w:rsidRPr="00930F69">
        <w:rPr>
          <w:rFonts w:ascii="Times New Roman" w:hAnsi="Times New Roman" w:cs="Times New Roman"/>
        </w:rPr>
        <w:t xml:space="preserve">However, </w:t>
      </w:r>
      <w:r w:rsidR="00E56EE4" w:rsidRPr="00930F69">
        <w:rPr>
          <w:rFonts w:ascii="Times New Roman" w:hAnsi="Times New Roman" w:cs="Times New Roman"/>
        </w:rPr>
        <w:lastRenderedPageBreak/>
        <w:t xml:space="preserve">other </w:t>
      </w:r>
      <w:r w:rsidR="004B62A2" w:rsidRPr="00930F69">
        <w:rPr>
          <w:rFonts w:ascii="Times New Roman" w:hAnsi="Times New Roman" w:cs="Times New Roman"/>
        </w:rPr>
        <w:t xml:space="preserve">studies </w:t>
      </w:r>
      <w:r w:rsidR="00AA7947" w:rsidRPr="00930F69">
        <w:rPr>
          <w:rFonts w:ascii="Times New Roman" w:hAnsi="Times New Roman" w:cs="Times New Roman"/>
        </w:rPr>
        <w:t>illuminate</w:t>
      </w:r>
      <w:r w:rsidR="004B62A2" w:rsidRPr="00930F69">
        <w:rPr>
          <w:rFonts w:ascii="Times New Roman" w:hAnsi="Times New Roman" w:cs="Times New Roman"/>
        </w:rPr>
        <w:t xml:space="preserve"> that the expected deliverables of cohort initiatives must be in proportion to the financial grants and technical assistance must adequately align with the goals of the group purpose or deliverable (Lee &amp; Calvin, 2006).</w:t>
      </w:r>
      <w:r w:rsidR="00040DB6" w:rsidRPr="00930F69">
        <w:rPr>
          <w:rFonts w:ascii="Times New Roman" w:hAnsi="Times New Roman" w:cs="Times New Roman"/>
        </w:rPr>
        <w:t xml:space="preserve"> </w:t>
      </w:r>
      <w:bookmarkEnd w:id="2"/>
    </w:p>
    <w:p w14:paraId="1DBE415D" w14:textId="77777777" w:rsidR="00B166C0" w:rsidRPr="00F276B1" w:rsidRDefault="00B166C0" w:rsidP="00F276B1">
      <w:pPr>
        <w:spacing w:after="0"/>
        <w:ind w:left="360"/>
        <w:rPr>
          <w:rFonts w:ascii="Times New Roman" w:hAnsi="Times New Roman" w:cs="Times New Roman"/>
        </w:rPr>
      </w:pPr>
    </w:p>
    <w:p w14:paraId="2BF941A3" w14:textId="1312C5DE" w:rsidR="00887A2C" w:rsidRPr="000C7C08" w:rsidRDefault="00887A2C" w:rsidP="00040DB6">
      <w:pPr>
        <w:spacing w:after="0"/>
        <w:rPr>
          <w:rFonts w:ascii="Times New Roman" w:hAnsi="Times New Roman" w:cs="Times New Roman"/>
          <w:b/>
          <w:bCs/>
        </w:rPr>
      </w:pPr>
      <w:r w:rsidRPr="000C7C08">
        <w:rPr>
          <w:rFonts w:ascii="Times New Roman" w:hAnsi="Times New Roman" w:cs="Times New Roman"/>
          <w:b/>
          <w:bCs/>
        </w:rPr>
        <w:t>Conceptual Approaches</w:t>
      </w:r>
    </w:p>
    <w:p w14:paraId="58A01D98" w14:textId="7A494248" w:rsidR="000C7C08" w:rsidRPr="000C7C08" w:rsidRDefault="00BF30A9" w:rsidP="000C7C08">
      <w:pPr>
        <w:spacing w:after="0"/>
        <w:ind w:firstLine="720"/>
        <w:rPr>
          <w:rFonts w:ascii="Times New Roman" w:hAnsi="Times New Roman" w:cs="Times New Roman"/>
        </w:rPr>
      </w:pPr>
      <w:r w:rsidRPr="000C7C08">
        <w:rPr>
          <w:rFonts w:ascii="Times New Roman" w:hAnsi="Times New Roman" w:cs="Times New Roman"/>
        </w:rPr>
        <w:t xml:space="preserve">Communities of practice and network cultivation offers grantmakers conceptual approaches that can be applied to cohort grantmaking strategies. </w:t>
      </w:r>
      <w:r w:rsidR="000C7C08" w:rsidRPr="000C7C08">
        <w:rPr>
          <w:rFonts w:ascii="Times New Roman" w:hAnsi="Times New Roman" w:cs="Times New Roman"/>
        </w:rPr>
        <w:t xml:space="preserve">As funders consider ways to structure and cultivate peer learning opportunities, a communities of practice approach can provide useful insights to guide the development of peer learning opportunities. Communities of practice is a concept that emerged out of social learning theory that refers to the development of sustained learning group based on a collective intention to advance learning in a particular domain (Wenger, Trayner, &amp; De Laat, 2011). The communities of practice approach </w:t>
      </w:r>
      <w:r w:rsidR="000C7C08" w:rsidRPr="000C7C08">
        <w:rPr>
          <w:rFonts w:ascii="Times New Roman" w:hAnsi="Times New Roman" w:cs="Times New Roman"/>
        </w:rPr>
        <w:t>have</w:t>
      </w:r>
      <w:r w:rsidR="000C7C08" w:rsidRPr="000C7C08">
        <w:rPr>
          <w:rFonts w:ascii="Times New Roman" w:hAnsi="Times New Roman" w:cs="Times New Roman"/>
        </w:rPr>
        <w:t xml:space="preserve"> been leveraged in a number of settings such academe, business, government, education, and healthcare sector (Wenger, 2012).</w:t>
      </w:r>
      <w:r w:rsidR="002C3F2E">
        <w:rPr>
          <w:rFonts w:ascii="Times New Roman" w:hAnsi="Times New Roman" w:cs="Times New Roman"/>
        </w:rPr>
        <w:t xml:space="preserve"> Establishing a community of practice requires </w:t>
      </w:r>
    </w:p>
    <w:p w14:paraId="301A46B5" w14:textId="088F5FBE" w:rsidR="000C7C08" w:rsidRPr="000C7C08" w:rsidRDefault="000C7C08" w:rsidP="000C7C08">
      <w:pPr>
        <w:spacing w:after="0"/>
        <w:ind w:firstLine="720"/>
        <w:rPr>
          <w:rFonts w:ascii="Times New Roman" w:hAnsi="Times New Roman" w:cs="Times New Roman"/>
        </w:rPr>
      </w:pPr>
      <w:r w:rsidRPr="000C7C08">
        <w:rPr>
          <w:rFonts w:ascii="Times New Roman" w:hAnsi="Times New Roman" w:cs="Times New Roman"/>
        </w:rPr>
        <w:t xml:space="preserve">Networks are typically structured to optimize connectivity for the affordances of learning, linkages, problem solving, and knowledge creation. A key distinction between funders interested in cultivating communities of practice </w:t>
      </w:r>
      <w:r w:rsidR="00B3454D">
        <w:rPr>
          <w:rFonts w:ascii="Times New Roman" w:hAnsi="Times New Roman" w:cs="Times New Roman"/>
        </w:rPr>
        <w:t>or</w:t>
      </w:r>
      <w:r w:rsidRPr="000C7C08">
        <w:rPr>
          <w:rFonts w:ascii="Times New Roman" w:hAnsi="Times New Roman" w:cs="Times New Roman"/>
        </w:rPr>
        <w:t xml:space="preserve"> cohort-based capacity building and funders interested in cultivating networks is the emphasis on coordination and collaboration. Funders can leverage the affordances of networks to resolve challenges that emerge in prioritized fields. Networks are particularly useful for structuring connections across key actors nationally for learning and coordination, particularly for actors working on similar issues in different states. However, to the extent that philanthropy funds initiatives in ways that activates networks that result in disproportionate influence in a field, limits on the political empowerment of those most impacted by the issue may be an unintended consequence (Scott, 2009</w:t>
      </w:r>
      <w:r w:rsidR="00A87C21">
        <w:rPr>
          <w:rFonts w:ascii="Times New Roman" w:hAnsi="Times New Roman" w:cs="Times New Roman"/>
        </w:rPr>
        <w:t>; Reckhow &amp; Snyder, 2013</w:t>
      </w:r>
      <w:r w:rsidRPr="000C7C08">
        <w:rPr>
          <w:rFonts w:ascii="Times New Roman" w:hAnsi="Times New Roman" w:cs="Times New Roman"/>
        </w:rPr>
        <w:t>).</w:t>
      </w:r>
    </w:p>
    <w:p w14:paraId="5FD43381" w14:textId="26611033" w:rsidR="000C7C08" w:rsidRPr="000C7C08" w:rsidRDefault="000C7C08" w:rsidP="00040DB6">
      <w:pPr>
        <w:spacing w:after="0"/>
        <w:rPr>
          <w:rFonts w:ascii="Times New Roman" w:hAnsi="Times New Roman" w:cs="Times New Roman"/>
        </w:rPr>
      </w:pPr>
    </w:p>
    <w:p w14:paraId="5528B986" w14:textId="6A2739F4" w:rsidR="00A87C21" w:rsidRDefault="00040DB6" w:rsidP="001B2D08">
      <w:pPr>
        <w:spacing w:after="0"/>
        <w:rPr>
          <w:rFonts w:ascii="Times New Roman" w:hAnsi="Times New Roman" w:cs="Times New Roman"/>
          <w:b/>
          <w:bCs/>
        </w:rPr>
      </w:pPr>
      <w:r w:rsidRPr="000C7C08">
        <w:rPr>
          <w:rFonts w:ascii="Times New Roman" w:hAnsi="Times New Roman" w:cs="Times New Roman"/>
          <w:b/>
          <w:bCs/>
        </w:rPr>
        <w:t>Interview Finding</w:t>
      </w:r>
      <w:r w:rsidR="000C7C08">
        <w:rPr>
          <w:rFonts w:ascii="Times New Roman" w:hAnsi="Times New Roman" w:cs="Times New Roman"/>
          <w:b/>
          <w:bCs/>
        </w:rPr>
        <w:t>s</w:t>
      </w:r>
    </w:p>
    <w:p w14:paraId="4ED9ACE6" w14:textId="7DE74457" w:rsidR="00A87C21" w:rsidRDefault="002C3F2E" w:rsidP="001B2D08">
      <w:pPr>
        <w:spacing w:after="0"/>
        <w:rPr>
          <w:rFonts w:ascii="Times New Roman" w:hAnsi="Times New Roman" w:cs="Times New Roman"/>
          <w:b/>
          <w:bCs/>
        </w:rPr>
      </w:pPr>
      <w:r w:rsidRPr="000C7C08">
        <w:rPr>
          <w:rFonts w:ascii="Times New Roman" w:hAnsi="Times New Roman" w:cs="Times New Roman"/>
          <w:noProof/>
        </w:rPr>
        <w:drawing>
          <wp:anchor distT="0" distB="0" distL="114300" distR="114300" simplePos="0" relativeHeight="251658240" behindDoc="1" locked="0" layoutInCell="1" allowOverlap="1" wp14:anchorId="416DFDBC" wp14:editId="15726CCF">
            <wp:simplePos x="0" y="0"/>
            <wp:positionH relativeFrom="column">
              <wp:posOffset>4445</wp:posOffset>
            </wp:positionH>
            <wp:positionV relativeFrom="page">
              <wp:posOffset>4363720</wp:posOffset>
            </wp:positionV>
            <wp:extent cx="6427470" cy="3249930"/>
            <wp:effectExtent l="0" t="0" r="0" b="7620"/>
            <wp:wrapThrough wrapText="bothSides">
              <wp:wrapPolygon edited="0">
                <wp:start x="0" y="0"/>
                <wp:lineTo x="0" y="21524"/>
                <wp:lineTo x="21510" y="21524"/>
                <wp:lineTo x="2151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27470" cy="3249930"/>
                    </a:xfrm>
                    <a:prstGeom prst="rect">
                      <a:avLst/>
                    </a:prstGeom>
                  </pic:spPr>
                </pic:pic>
              </a:graphicData>
            </a:graphic>
            <wp14:sizeRelH relativeFrom="margin">
              <wp14:pctWidth>0</wp14:pctWidth>
            </wp14:sizeRelH>
            <wp14:sizeRelV relativeFrom="margin">
              <wp14:pctHeight>0</wp14:pctHeight>
            </wp14:sizeRelV>
          </wp:anchor>
        </w:drawing>
      </w:r>
    </w:p>
    <w:p w14:paraId="75B74503" w14:textId="22AD21DC" w:rsidR="00A87C21" w:rsidRDefault="00A87C21" w:rsidP="001B2D08">
      <w:pPr>
        <w:spacing w:after="0"/>
        <w:rPr>
          <w:rFonts w:ascii="Times New Roman" w:hAnsi="Times New Roman" w:cs="Times New Roman"/>
          <w:b/>
          <w:bCs/>
        </w:rPr>
      </w:pPr>
    </w:p>
    <w:p w14:paraId="20DAE5EA" w14:textId="6648DF5A" w:rsidR="00A87C21" w:rsidRDefault="00A87C21" w:rsidP="001B2D08">
      <w:pPr>
        <w:spacing w:after="0"/>
        <w:rPr>
          <w:rFonts w:ascii="Times New Roman" w:hAnsi="Times New Roman" w:cs="Times New Roman"/>
          <w:b/>
          <w:bCs/>
        </w:rPr>
      </w:pPr>
    </w:p>
    <w:p w14:paraId="55803C35" w14:textId="3392A781" w:rsidR="00A87C21" w:rsidRDefault="00A87C21" w:rsidP="001B2D08">
      <w:pPr>
        <w:spacing w:after="0"/>
        <w:rPr>
          <w:rFonts w:ascii="Times New Roman" w:hAnsi="Times New Roman" w:cs="Times New Roman"/>
          <w:b/>
          <w:bCs/>
        </w:rPr>
      </w:pPr>
    </w:p>
    <w:p w14:paraId="1C30C912" w14:textId="169E7CC7" w:rsidR="00A87C21" w:rsidRDefault="00A87C21" w:rsidP="001B2D08">
      <w:pPr>
        <w:spacing w:after="0"/>
        <w:rPr>
          <w:rFonts w:ascii="Times New Roman" w:hAnsi="Times New Roman" w:cs="Times New Roman"/>
          <w:b/>
          <w:bCs/>
        </w:rPr>
      </w:pPr>
    </w:p>
    <w:p w14:paraId="59258B79" w14:textId="10648F1B" w:rsidR="00A87C21" w:rsidRDefault="00A87C21" w:rsidP="001B2D08">
      <w:pPr>
        <w:spacing w:after="0"/>
        <w:rPr>
          <w:rFonts w:ascii="Times New Roman" w:hAnsi="Times New Roman" w:cs="Times New Roman"/>
          <w:b/>
          <w:bCs/>
        </w:rPr>
      </w:pPr>
    </w:p>
    <w:p w14:paraId="7CD2B2BB" w14:textId="3A1FAB6B" w:rsidR="00A87C21" w:rsidRDefault="00A87C21" w:rsidP="001B2D08">
      <w:pPr>
        <w:spacing w:after="0"/>
        <w:rPr>
          <w:rFonts w:ascii="Times New Roman" w:hAnsi="Times New Roman" w:cs="Times New Roman"/>
          <w:b/>
          <w:bCs/>
        </w:rPr>
      </w:pPr>
    </w:p>
    <w:p w14:paraId="6BFFE888" w14:textId="5388A03E" w:rsidR="00A87C21" w:rsidRDefault="00A87C21" w:rsidP="001B2D08">
      <w:pPr>
        <w:spacing w:after="0"/>
        <w:rPr>
          <w:rFonts w:ascii="Times New Roman" w:hAnsi="Times New Roman" w:cs="Times New Roman"/>
          <w:b/>
          <w:bCs/>
        </w:rPr>
      </w:pPr>
    </w:p>
    <w:p w14:paraId="3B7847A9" w14:textId="1061EFC5" w:rsidR="00A87C21" w:rsidRDefault="00A87C21" w:rsidP="001B2D08">
      <w:pPr>
        <w:spacing w:after="0"/>
        <w:rPr>
          <w:rFonts w:ascii="Times New Roman" w:hAnsi="Times New Roman" w:cs="Times New Roman"/>
          <w:b/>
          <w:bCs/>
        </w:rPr>
      </w:pPr>
    </w:p>
    <w:p w14:paraId="18381616" w14:textId="3AB40257" w:rsidR="00A87C21" w:rsidRDefault="00A87C21" w:rsidP="001B2D08">
      <w:pPr>
        <w:spacing w:after="0"/>
        <w:rPr>
          <w:rFonts w:ascii="Times New Roman" w:hAnsi="Times New Roman" w:cs="Times New Roman"/>
          <w:b/>
          <w:bCs/>
        </w:rPr>
      </w:pPr>
    </w:p>
    <w:p w14:paraId="26CA8DDC" w14:textId="1924EFD1" w:rsidR="00A87C21" w:rsidRDefault="00A87C21" w:rsidP="001B2D08">
      <w:pPr>
        <w:spacing w:after="0"/>
        <w:rPr>
          <w:rFonts w:ascii="Times New Roman" w:hAnsi="Times New Roman" w:cs="Times New Roman"/>
          <w:b/>
          <w:bCs/>
        </w:rPr>
      </w:pPr>
    </w:p>
    <w:p w14:paraId="79FF4C1F" w14:textId="521834A7" w:rsidR="00A87C21" w:rsidRDefault="00A87C21" w:rsidP="001B2D08">
      <w:pPr>
        <w:spacing w:after="0"/>
        <w:rPr>
          <w:rFonts w:ascii="Times New Roman" w:hAnsi="Times New Roman" w:cs="Times New Roman"/>
          <w:b/>
          <w:bCs/>
        </w:rPr>
      </w:pPr>
    </w:p>
    <w:p w14:paraId="05A8BA05" w14:textId="34F51301" w:rsidR="00A87C21" w:rsidRDefault="00A87C21" w:rsidP="001B2D08">
      <w:pPr>
        <w:spacing w:after="0"/>
        <w:rPr>
          <w:rFonts w:ascii="Times New Roman" w:hAnsi="Times New Roman" w:cs="Times New Roman"/>
          <w:b/>
          <w:bCs/>
        </w:rPr>
      </w:pPr>
    </w:p>
    <w:p w14:paraId="38E6E841" w14:textId="0D68C5C1" w:rsidR="00A87C21" w:rsidRDefault="00A87C21" w:rsidP="001B2D08">
      <w:pPr>
        <w:spacing w:after="0"/>
        <w:rPr>
          <w:rFonts w:ascii="Times New Roman" w:hAnsi="Times New Roman" w:cs="Times New Roman"/>
          <w:b/>
          <w:bCs/>
        </w:rPr>
      </w:pPr>
    </w:p>
    <w:p w14:paraId="0777432D" w14:textId="504F2292" w:rsidR="00A87C21" w:rsidRDefault="00A87C21" w:rsidP="001B2D08">
      <w:pPr>
        <w:spacing w:after="0"/>
        <w:rPr>
          <w:rFonts w:ascii="Times New Roman" w:hAnsi="Times New Roman" w:cs="Times New Roman"/>
          <w:b/>
          <w:bCs/>
        </w:rPr>
      </w:pPr>
    </w:p>
    <w:p w14:paraId="6CE77C6C" w14:textId="72515AA4" w:rsidR="002C3F2E" w:rsidRDefault="002C3F2E" w:rsidP="001B2D08">
      <w:pPr>
        <w:spacing w:after="0"/>
        <w:rPr>
          <w:rFonts w:ascii="Times New Roman" w:hAnsi="Times New Roman" w:cs="Times New Roman"/>
          <w:b/>
          <w:bCs/>
        </w:rPr>
      </w:pPr>
    </w:p>
    <w:p w14:paraId="24CDE46C" w14:textId="5C38BF13" w:rsidR="002C3F2E" w:rsidRDefault="002C3F2E" w:rsidP="001B2D08">
      <w:pPr>
        <w:spacing w:after="0"/>
        <w:rPr>
          <w:rFonts w:ascii="Times New Roman" w:hAnsi="Times New Roman" w:cs="Times New Roman"/>
        </w:rPr>
      </w:pPr>
    </w:p>
    <w:p w14:paraId="42A6C4D9" w14:textId="1AC52C41" w:rsidR="002C3F2E" w:rsidRDefault="002C3F2E" w:rsidP="001B2D08">
      <w:pPr>
        <w:spacing w:after="0"/>
        <w:rPr>
          <w:rFonts w:ascii="Times New Roman" w:hAnsi="Times New Roman" w:cs="Times New Roman"/>
        </w:rPr>
      </w:pPr>
    </w:p>
    <w:p w14:paraId="65BE07B7" w14:textId="77777777" w:rsidR="002C3F2E" w:rsidRDefault="002C3F2E" w:rsidP="001B2D08">
      <w:pPr>
        <w:spacing w:after="0"/>
        <w:rPr>
          <w:rFonts w:ascii="Times New Roman" w:hAnsi="Times New Roman" w:cs="Times New Roman"/>
        </w:rPr>
      </w:pPr>
    </w:p>
    <w:p w14:paraId="0926D144" w14:textId="08071273" w:rsidR="002C3F2E" w:rsidRDefault="002C3F2E" w:rsidP="001B2D08">
      <w:pPr>
        <w:spacing w:after="0"/>
        <w:rPr>
          <w:rFonts w:ascii="Times New Roman" w:hAnsi="Times New Roman" w:cs="Times New Roman"/>
        </w:rPr>
      </w:pPr>
      <w:r w:rsidRPr="002C3F2E">
        <w:rPr>
          <w:rFonts w:ascii="Times New Roman" w:hAnsi="Times New Roman" w:cs="Times New Roman"/>
          <w:b/>
          <w:bCs/>
          <w:noProof/>
        </w:rPr>
        <mc:AlternateContent>
          <mc:Choice Requires="wps">
            <w:drawing>
              <wp:anchor distT="45720" distB="45720" distL="114300" distR="114300" simplePos="0" relativeHeight="251660288" behindDoc="1" locked="0" layoutInCell="1" allowOverlap="1" wp14:anchorId="155A3118" wp14:editId="2AED9D3E">
                <wp:simplePos x="0" y="0"/>
                <wp:positionH relativeFrom="column">
                  <wp:posOffset>4867</wp:posOffset>
                </wp:positionH>
                <wp:positionV relativeFrom="page">
                  <wp:posOffset>7608821</wp:posOffset>
                </wp:positionV>
                <wp:extent cx="6393180" cy="456565"/>
                <wp:effectExtent l="0" t="0" r="0" b="635"/>
                <wp:wrapTight wrapText="bothSides">
                  <wp:wrapPolygon edited="0">
                    <wp:start x="193" y="0"/>
                    <wp:lineTo x="193" y="20729"/>
                    <wp:lineTo x="21368" y="20729"/>
                    <wp:lineTo x="21368" y="0"/>
                    <wp:lineTo x="193"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456565"/>
                        </a:xfrm>
                        <a:prstGeom prst="rect">
                          <a:avLst/>
                        </a:prstGeom>
                        <a:noFill/>
                        <a:ln w="9525">
                          <a:noFill/>
                          <a:miter lim="800000"/>
                          <a:headEnd/>
                          <a:tailEnd/>
                        </a:ln>
                      </wps:spPr>
                      <wps:txbx>
                        <w:txbxContent>
                          <w:p w14:paraId="3743CD22" w14:textId="6DD67972" w:rsidR="000C7C08" w:rsidRPr="000C7C08" w:rsidRDefault="000C7C08" w:rsidP="000C7C08">
                            <w:pPr>
                              <w:spacing w:after="0"/>
                              <w:jc w:val="left"/>
                              <w:rPr>
                                <w:rFonts w:ascii="Times New Roman" w:hAnsi="Times New Roman" w:cs="Times New Roman"/>
                                <w:sz w:val="14"/>
                                <w:szCs w:val="14"/>
                              </w:rPr>
                            </w:pPr>
                            <w:r w:rsidRPr="000C7C08">
                              <w:rPr>
                                <w:rFonts w:ascii="Times New Roman" w:hAnsi="Times New Roman" w:cs="Times New Roman"/>
                                <w:i/>
                                <w:iCs/>
                                <w:sz w:val="14"/>
                                <w:szCs w:val="14"/>
                              </w:rPr>
                              <w:t>Th</w:t>
                            </w:r>
                            <w:r w:rsidRPr="000C7C08">
                              <w:rPr>
                                <w:rFonts w:ascii="Times New Roman" w:hAnsi="Times New Roman" w:cs="Times New Roman"/>
                                <w:i/>
                                <w:iCs/>
                                <w:sz w:val="14"/>
                                <w:szCs w:val="14"/>
                              </w:rPr>
                              <w:t>is</w:t>
                            </w:r>
                            <w:r w:rsidRPr="000C7C08">
                              <w:rPr>
                                <w:rFonts w:ascii="Times New Roman" w:hAnsi="Times New Roman" w:cs="Times New Roman"/>
                                <w:i/>
                                <w:iCs/>
                                <w:sz w:val="14"/>
                                <w:szCs w:val="14"/>
                              </w:rPr>
                              <w:t xml:space="preserve"> graphic provides an overview of key themes and insights from three interviews with foundation leaders implementing grantmaking strategies that support learning and collaboration across a group of grantees. The summary of themes provides a reference for grantmakers exploring strategies to structure learning and collaboration across</w:t>
                            </w:r>
                            <w:r w:rsidRPr="000C7C08">
                              <w:rPr>
                                <w:rFonts w:ascii="Times New Roman" w:hAnsi="Times New Roman" w:cs="Times New Roman"/>
                                <w:sz w:val="14"/>
                                <w:szCs w:val="14"/>
                              </w:rPr>
                              <w:t xml:space="preserve"> </w:t>
                            </w:r>
                            <w:r w:rsidRPr="000C7C08">
                              <w:rPr>
                                <w:rFonts w:ascii="Times New Roman" w:hAnsi="Times New Roman" w:cs="Times New Roman"/>
                                <w:i/>
                                <w:iCs/>
                                <w:sz w:val="14"/>
                                <w:szCs w:val="14"/>
                              </w:rPr>
                              <w:t>grantees.</w:t>
                            </w:r>
                          </w:p>
                          <w:p w14:paraId="2E7027B5" w14:textId="03F94F6F" w:rsidR="000C7C08" w:rsidRDefault="000C7C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5A3118" id="_x0000_t202" coordsize="21600,21600" o:spt="202" path="m,l,21600r21600,l21600,xe">
                <v:stroke joinstyle="miter"/>
                <v:path gradientshapeok="t" o:connecttype="rect"/>
              </v:shapetype>
              <v:shape id="Text Box 2" o:spid="_x0000_s1026" type="#_x0000_t202" style="position:absolute;left:0;text-align:left;margin-left:.4pt;margin-top:599.1pt;width:503.4pt;height:35.9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" filled="f" stroked="f">
                <v:textbox>
                  <w:txbxContent>
                    <w:p w14:paraId="3743CD22" w14:textId="6DD67972" w:rsidR="000C7C08" w:rsidRPr="000C7C08" w:rsidRDefault="000C7C08" w:rsidP="000C7C08">
                      <w:pPr>
                        <w:spacing w:after="0"/>
                        <w:jc w:val="left"/>
                        <w:rPr>
                          <w:rFonts w:ascii="Times New Roman" w:hAnsi="Times New Roman" w:cs="Times New Roman"/>
                          <w:sz w:val="14"/>
                          <w:szCs w:val="14"/>
                        </w:rPr>
                      </w:pPr>
                      <w:r w:rsidRPr="000C7C08">
                        <w:rPr>
                          <w:rFonts w:ascii="Times New Roman" w:hAnsi="Times New Roman" w:cs="Times New Roman"/>
                          <w:i/>
                          <w:iCs/>
                          <w:sz w:val="14"/>
                          <w:szCs w:val="14"/>
                        </w:rPr>
                        <w:t>Th</w:t>
                      </w:r>
                      <w:r w:rsidRPr="000C7C08">
                        <w:rPr>
                          <w:rFonts w:ascii="Times New Roman" w:hAnsi="Times New Roman" w:cs="Times New Roman"/>
                          <w:i/>
                          <w:iCs/>
                          <w:sz w:val="14"/>
                          <w:szCs w:val="14"/>
                        </w:rPr>
                        <w:t>is</w:t>
                      </w:r>
                      <w:r w:rsidRPr="000C7C08">
                        <w:rPr>
                          <w:rFonts w:ascii="Times New Roman" w:hAnsi="Times New Roman" w:cs="Times New Roman"/>
                          <w:i/>
                          <w:iCs/>
                          <w:sz w:val="14"/>
                          <w:szCs w:val="14"/>
                        </w:rPr>
                        <w:t xml:space="preserve"> graphic provides an overview of key themes and insights from three interviews with foundation leaders implementing grantmaking strategies that support learning and collaboration across a group of grantees. The summary of themes provides a reference for grantmakers exploring strategies to structure learning and collaboration across</w:t>
                      </w:r>
                      <w:r w:rsidRPr="000C7C08">
                        <w:rPr>
                          <w:rFonts w:ascii="Times New Roman" w:hAnsi="Times New Roman" w:cs="Times New Roman"/>
                          <w:sz w:val="14"/>
                          <w:szCs w:val="14"/>
                        </w:rPr>
                        <w:t xml:space="preserve"> </w:t>
                      </w:r>
                      <w:r w:rsidRPr="000C7C08">
                        <w:rPr>
                          <w:rFonts w:ascii="Times New Roman" w:hAnsi="Times New Roman" w:cs="Times New Roman"/>
                          <w:i/>
                          <w:iCs/>
                          <w:sz w:val="14"/>
                          <w:szCs w:val="14"/>
                        </w:rPr>
                        <w:t>grantees.</w:t>
                      </w:r>
                    </w:p>
                    <w:p w14:paraId="2E7027B5" w14:textId="03F94F6F" w:rsidR="000C7C08" w:rsidRDefault="000C7C08"/>
                  </w:txbxContent>
                </v:textbox>
                <w10:wrap type="tight" anchory="page"/>
              </v:shape>
            </w:pict>
          </mc:Fallback>
        </mc:AlternateContent>
      </w:r>
    </w:p>
    <w:p w14:paraId="5B53095F" w14:textId="00B84BC8" w:rsidR="002C3F2E" w:rsidRDefault="002C3F2E" w:rsidP="001B2D08">
      <w:pPr>
        <w:spacing w:after="0"/>
        <w:rPr>
          <w:rFonts w:ascii="Times New Roman" w:hAnsi="Times New Roman" w:cs="Times New Roman"/>
          <w:b/>
          <w:bCs/>
        </w:rPr>
      </w:pPr>
    </w:p>
    <w:p w14:paraId="5919B1DD" w14:textId="77777777" w:rsidR="002C3F2E" w:rsidRDefault="002C3F2E" w:rsidP="001B2D08">
      <w:pPr>
        <w:spacing w:after="0"/>
        <w:rPr>
          <w:rFonts w:ascii="Times New Roman" w:hAnsi="Times New Roman" w:cs="Times New Roman"/>
          <w:b/>
          <w:bCs/>
        </w:rPr>
      </w:pPr>
    </w:p>
    <w:p w14:paraId="10D0C566" w14:textId="125B7164" w:rsidR="00A87C21" w:rsidRPr="002C3F2E" w:rsidRDefault="002C3F2E" w:rsidP="001B2D08">
      <w:pPr>
        <w:spacing w:after="0"/>
        <w:rPr>
          <w:rFonts w:ascii="Times New Roman" w:hAnsi="Times New Roman" w:cs="Times New Roman"/>
          <w:b/>
          <w:bCs/>
        </w:rPr>
      </w:pPr>
      <w:r w:rsidRPr="002C3F2E">
        <w:rPr>
          <w:rFonts w:ascii="Times New Roman" w:hAnsi="Times New Roman" w:cs="Times New Roman"/>
          <w:b/>
          <w:bCs/>
        </w:rPr>
        <w:t>Conclusion</w:t>
      </w:r>
    </w:p>
    <w:p w14:paraId="74E70AE9" w14:textId="065D709F" w:rsidR="00986E9E" w:rsidRDefault="002C3F2E" w:rsidP="00F276B1">
      <w:pPr>
        <w:ind w:firstLine="720"/>
        <w:rPr>
          <w:rFonts w:ascii="Times New Roman" w:hAnsi="Times New Roman" w:cs="Times New Roman"/>
        </w:rPr>
      </w:pPr>
      <w:r>
        <w:rPr>
          <w:rFonts w:ascii="Times New Roman" w:hAnsi="Times New Roman" w:cs="Times New Roman"/>
        </w:rPr>
        <w:t xml:space="preserve">As funders explore ways to structure engagements across grantees, the literature on cohort grantmaking, communities of practice, and networks provides insights on critical design features and conceptual approaches that can translate into strengthened grantee capacity and increased funder impact. Cohort grantmaking </w:t>
      </w:r>
      <w:r w:rsidR="0094798D">
        <w:rPr>
          <w:rFonts w:ascii="Times New Roman" w:hAnsi="Times New Roman" w:cs="Times New Roman"/>
        </w:rPr>
        <w:t>has the potential to s</w:t>
      </w:r>
      <w:r w:rsidR="0094798D" w:rsidRPr="0094798D">
        <w:rPr>
          <w:rFonts w:ascii="Times New Roman" w:hAnsi="Times New Roman" w:cs="Times New Roman"/>
        </w:rPr>
        <w:t xml:space="preserve">trengthen the </w:t>
      </w:r>
      <w:r w:rsidR="0094798D">
        <w:rPr>
          <w:rFonts w:ascii="Times New Roman" w:hAnsi="Times New Roman" w:cs="Times New Roman"/>
        </w:rPr>
        <w:t xml:space="preserve">capacity </w:t>
      </w:r>
      <w:r w:rsidR="0094798D" w:rsidRPr="0094798D">
        <w:rPr>
          <w:rFonts w:ascii="Times New Roman" w:hAnsi="Times New Roman" w:cs="Times New Roman"/>
        </w:rPr>
        <w:t xml:space="preserve">of </w:t>
      </w:r>
      <w:r w:rsidR="0094798D">
        <w:rPr>
          <w:rFonts w:ascii="Times New Roman" w:hAnsi="Times New Roman" w:cs="Times New Roman"/>
        </w:rPr>
        <w:t>grantees</w:t>
      </w:r>
      <w:r w:rsidR="0094798D" w:rsidRPr="0094798D">
        <w:rPr>
          <w:rFonts w:ascii="Times New Roman" w:hAnsi="Times New Roman" w:cs="Times New Roman"/>
        </w:rPr>
        <w:t xml:space="preserve"> to advance their mission</w:t>
      </w:r>
      <w:r w:rsidR="00F276B1">
        <w:rPr>
          <w:rFonts w:ascii="Times New Roman" w:hAnsi="Times New Roman" w:cs="Times New Roman"/>
        </w:rPr>
        <w:t>s</w:t>
      </w:r>
      <w:r w:rsidR="0094798D" w:rsidRPr="0094798D">
        <w:rPr>
          <w:rFonts w:ascii="Times New Roman" w:hAnsi="Times New Roman" w:cs="Times New Roman"/>
        </w:rPr>
        <w:t xml:space="preserve"> </w:t>
      </w:r>
      <w:r w:rsidR="0094798D">
        <w:rPr>
          <w:rFonts w:ascii="Times New Roman" w:hAnsi="Times New Roman" w:cs="Times New Roman"/>
        </w:rPr>
        <w:t>and</w:t>
      </w:r>
      <w:r w:rsidR="0094798D" w:rsidRPr="0094798D">
        <w:rPr>
          <w:rFonts w:ascii="Times New Roman" w:hAnsi="Times New Roman" w:cs="Times New Roman"/>
        </w:rPr>
        <w:t xml:space="preserve"> </w:t>
      </w:r>
      <w:r w:rsidR="0094798D">
        <w:rPr>
          <w:rFonts w:ascii="Times New Roman" w:hAnsi="Times New Roman" w:cs="Times New Roman"/>
        </w:rPr>
        <w:t>foster</w:t>
      </w:r>
      <w:r w:rsidR="0094798D" w:rsidRPr="0094798D">
        <w:rPr>
          <w:rFonts w:ascii="Times New Roman" w:hAnsi="Times New Roman" w:cs="Times New Roman"/>
        </w:rPr>
        <w:t xml:space="preserve"> the </w:t>
      </w:r>
      <w:r w:rsidR="0094798D">
        <w:rPr>
          <w:rFonts w:ascii="Times New Roman" w:hAnsi="Times New Roman" w:cs="Times New Roman"/>
        </w:rPr>
        <w:t>collaboration and</w:t>
      </w:r>
      <w:r w:rsidR="0094798D" w:rsidRPr="0094798D">
        <w:rPr>
          <w:rFonts w:ascii="Times New Roman" w:hAnsi="Times New Roman" w:cs="Times New Roman"/>
        </w:rPr>
        <w:t xml:space="preserve"> coordination of many </w:t>
      </w:r>
      <w:r w:rsidR="00F276B1">
        <w:rPr>
          <w:rFonts w:ascii="Times New Roman" w:hAnsi="Times New Roman" w:cs="Times New Roman"/>
        </w:rPr>
        <w:t>grantees</w:t>
      </w:r>
      <w:r w:rsidR="0094798D" w:rsidRPr="0094798D">
        <w:rPr>
          <w:rFonts w:ascii="Times New Roman" w:hAnsi="Times New Roman" w:cs="Times New Roman"/>
        </w:rPr>
        <w:t xml:space="preserve"> working at the nexus of a field, sector, or issue area</w:t>
      </w:r>
      <w:r w:rsidR="0094798D">
        <w:rPr>
          <w:rFonts w:ascii="Times New Roman" w:hAnsi="Times New Roman" w:cs="Times New Roman"/>
        </w:rPr>
        <w:t>. Funders increase the impact of their mission</w:t>
      </w:r>
      <w:r w:rsidR="00F276B1">
        <w:rPr>
          <w:rFonts w:ascii="Times New Roman" w:hAnsi="Times New Roman" w:cs="Times New Roman"/>
        </w:rPr>
        <w:t>s</w:t>
      </w:r>
      <w:r w:rsidR="0094798D">
        <w:rPr>
          <w:rFonts w:ascii="Times New Roman" w:hAnsi="Times New Roman" w:cs="Times New Roman"/>
        </w:rPr>
        <w:t xml:space="preserve"> and funding priorities by expanding grantmaking activities to support grantees by building the infrastructure for </w:t>
      </w:r>
      <w:r w:rsidR="0094798D" w:rsidRPr="0094798D">
        <w:rPr>
          <w:rFonts w:ascii="Times New Roman" w:hAnsi="Times New Roman" w:cs="Times New Roman"/>
        </w:rPr>
        <w:t>opportunities for capacity-building, collaboration, and coordination</w:t>
      </w:r>
      <w:r w:rsidR="0094798D">
        <w:rPr>
          <w:rFonts w:ascii="Times New Roman" w:hAnsi="Times New Roman" w:cs="Times New Roman"/>
        </w:rPr>
        <w:t xml:space="preserve">. </w:t>
      </w:r>
      <w:r w:rsidR="00E9102A" w:rsidRPr="00E9102A">
        <w:rPr>
          <w:rFonts w:ascii="Times New Roman" w:hAnsi="Times New Roman" w:cs="Times New Roman"/>
        </w:rPr>
        <w:t xml:space="preserve">This paper provides a resource for grantmakers </w:t>
      </w:r>
      <w:r w:rsidR="00A262A6">
        <w:rPr>
          <w:rFonts w:ascii="Times New Roman" w:hAnsi="Times New Roman" w:cs="Times New Roman"/>
        </w:rPr>
        <w:t>exploring</w:t>
      </w:r>
      <w:bookmarkStart w:id="3" w:name="_GoBack"/>
      <w:bookmarkEnd w:id="3"/>
      <w:r w:rsidR="00E9102A" w:rsidRPr="00E9102A">
        <w:rPr>
          <w:rFonts w:ascii="Times New Roman" w:hAnsi="Times New Roman" w:cs="Times New Roman"/>
        </w:rPr>
        <w:t xml:space="preserve"> ways to design these opportunities and continuously improve their grantmaking strategies.</w:t>
      </w:r>
    </w:p>
    <w:p w14:paraId="4D200F7F" w14:textId="77777777" w:rsidR="00986E9E" w:rsidRPr="00986E9E" w:rsidRDefault="00986E9E" w:rsidP="00F276B1">
      <w:pPr>
        <w:spacing w:after="0"/>
        <w:rPr>
          <w:rFonts w:ascii="Times New Roman" w:hAnsi="Times New Roman" w:cs="Times New Roman"/>
          <w:b/>
          <w:bCs/>
        </w:rPr>
      </w:pPr>
      <w:r w:rsidRPr="00986E9E">
        <w:rPr>
          <w:rFonts w:ascii="Times New Roman" w:hAnsi="Times New Roman" w:cs="Times New Roman"/>
          <w:b/>
          <w:bCs/>
        </w:rPr>
        <w:lastRenderedPageBreak/>
        <w:t>References</w:t>
      </w:r>
    </w:p>
    <w:p w14:paraId="1FDAEEC0" w14:textId="77777777" w:rsidR="00F276B1" w:rsidRDefault="00986E9E" w:rsidP="00F276B1">
      <w:pPr>
        <w:spacing w:after="0" w:line="240" w:lineRule="auto"/>
        <w:ind w:left="720" w:hanging="720"/>
        <w:jc w:val="left"/>
        <w:rPr>
          <w:rFonts w:ascii="Times New Roman" w:eastAsia="Times New Roman" w:hAnsi="Times New Roman" w:cs="Times New Roman"/>
        </w:rPr>
      </w:pPr>
      <w:r w:rsidRPr="00986E9E">
        <w:rPr>
          <w:rFonts w:ascii="Times New Roman" w:eastAsia="Times New Roman" w:hAnsi="Times New Roman" w:cs="Times New Roman"/>
        </w:rPr>
        <w:t xml:space="preserve">Bradley, K., Chibber, K. S., Cozier, N., Vander Meulen, P., &amp; Ayres-Griffin, C. (2017). Building healthy start grantees’ capacity to achieve collective impact: Lessons from the field. </w:t>
      </w:r>
      <w:r w:rsidRPr="00986E9E">
        <w:rPr>
          <w:rFonts w:ascii="Times New Roman" w:eastAsia="Times New Roman" w:hAnsi="Times New Roman" w:cs="Times New Roman"/>
          <w:i/>
          <w:iCs/>
        </w:rPr>
        <w:t>Maternal and child health journal</w:t>
      </w:r>
      <w:r w:rsidRPr="00986E9E">
        <w:rPr>
          <w:rFonts w:ascii="Times New Roman" w:eastAsia="Times New Roman" w:hAnsi="Times New Roman" w:cs="Times New Roman"/>
        </w:rPr>
        <w:t xml:space="preserve">, </w:t>
      </w:r>
      <w:r w:rsidRPr="00986E9E">
        <w:rPr>
          <w:rFonts w:ascii="Times New Roman" w:eastAsia="Times New Roman" w:hAnsi="Times New Roman" w:cs="Times New Roman"/>
          <w:i/>
          <w:iCs/>
        </w:rPr>
        <w:t>21</w:t>
      </w:r>
      <w:r w:rsidRPr="00986E9E">
        <w:rPr>
          <w:rFonts w:ascii="Times New Roman" w:eastAsia="Times New Roman" w:hAnsi="Times New Roman" w:cs="Times New Roman"/>
        </w:rPr>
        <w:t>(1), 32-39.</w:t>
      </w:r>
    </w:p>
    <w:p w14:paraId="238EBF03" w14:textId="7B87B295" w:rsidR="00986E9E" w:rsidRPr="00986E9E" w:rsidRDefault="00986E9E" w:rsidP="00F276B1">
      <w:pPr>
        <w:spacing w:after="0" w:line="240" w:lineRule="auto"/>
        <w:ind w:left="720" w:hanging="720"/>
        <w:jc w:val="left"/>
        <w:rPr>
          <w:rFonts w:ascii="Times New Roman" w:eastAsia="Times New Roman" w:hAnsi="Times New Roman" w:cs="Times New Roman"/>
        </w:rPr>
      </w:pPr>
      <w:r w:rsidRPr="00986E9E">
        <w:rPr>
          <w:rFonts w:ascii="Times New Roman" w:eastAsia="Times New Roman" w:hAnsi="Times New Roman" w:cs="Times New Roman"/>
        </w:rPr>
        <w:t xml:space="preserve">Devine, N. (2016). The groundwork for successful cohort-based fiscal capacity-building: An evaluation of the Strengthening Financial Management Initiative. </w:t>
      </w:r>
      <w:r w:rsidRPr="00986E9E">
        <w:rPr>
          <w:rFonts w:ascii="Times New Roman" w:eastAsia="Times New Roman" w:hAnsi="Times New Roman" w:cs="Times New Roman"/>
          <w:i/>
          <w:iCs/>
        </w:rPr>
        <w:t>The Foundation Review</w:t>
      </w:r>
      <w:r w:rsidRPr="00986E9E">
        <w:rPr>
          <w:rFonts w:ascii="Times New Roman" w:eastAsia="Times New Roman" w:hAnsi="Times New Roman" w:cs="Times New Roman"/>
        </w:rPr>
        <w:t xml:space="preserve">, </w:t>
      </w:r>
      <w:r w:rsidRPr="00986E9E">
        <w:rPr>
          <w:rFonts w:ascii="Times New Roman" w:eastAsia="Times New Roman" w:hAnsi="Times New Roman" w:cs="Times New Roman"/>
          <w:i/>
          <w:iCs/>
        </w:rPr>
        <w:t>8</w:t>
      </w:r>
      <w:r w:rsidRPr="00986E9E">
        <w:rPr>
          <w:rFonts w:ascii="Times New Roman" w:eastAsia="Times New Roman" w:hAnsi="Times New Roman" w:cs="Times New Roman"/>
        </w:rPr>
        <w:t>(1), 6.</w:t>
      </w:r>
    </w:p>
    <w:p w14:paraId="324B09D9" w14:textId="77777777" w:rsidR="00986E9E" w:rsidRPr="00986E9E" w:rsidRDefault="00986E9E" w:rsidP="00F276B1">
      <w:pPr>
        <w:spacing w:after="0" w:line="240" w:lineRule="auto"/>
        <w:ind w:left="720" w:hanging="720"/>
        <w:jc w:val="left"/>
        <w:rPr>
          <w:rFonts w:ascii="Times New Roman" w:eastAsia="Times New Roman" w:hAnsi="Times New Roman" w:cs="Times New Roman"/>
        </w:rPr>
      </w:pPr>
      <w:r w:rsidRPr="00986E9E">
        <w:rPr>
          <w:rFonts w:ascii="Times New Roman" w:eastAsia="Times New Roman" w:hAnsi="Times New Roman" w:cs="Times New Roman"/>
        </w:rPr>
        <w:t xml:space="preserve">Francis, M., Desmond, C., Williams, J., Chubinski, J., Zimmerman, J., &amp; Young, A. (2018). Thriving communities: A model for community-engaged grantmaking. </w:t>
      </w:r>
      <w:r w:rsidRPr="00986E9E">
        <w:rPr>
          <w:rFonts w:ascii="Times New Roman" w:eastAsia="Times New Roman" w:hAnsi="Times New Roman" w:cs="Times New Roman"/>
          <w:i/>
          <w:iCs/>
        </w:rPr>
        <w:t>The Foundation Review</w:t>
      </w:r>
      <w:r w:rsidRPr="00986E9E">
        <w:rPr>
          <w:rFonts w:ascii="Times New Roman" w:eastAsia="Times New Roman" w:hAnsi="Times New Roman" w:cs="Times New Roman"/>
        </w:rPr>
        <w:t xml:space="preserve">, </w:t>
      </w:r>
      <w:r w:rsidRPr="00986E9E">
        <w:rPr>
          <w:rFonts w:ascii="Times New Roman" w:eastAsia="Times New Roman" w:hAnsi="Times New Roman" w:cs="Times New Roman"/>
          <w:i/>
          <w:iCs/>
        </w:rPr>
        <w:t>10</w:t>
      </w:r>
      <w:r w:rsidRPr="00986E9E">
        <w:rPr>
          <w:rFonts w:ascii="Times New Roman" w:eastAsia="Times New Roman" w:hAnsi="Times New Roman" w:cs="Times New Roman"/>
        </w:rPr>
        <w:t xml:space="preserve">(4), 9. </w:t>
      </w:r>
    </w:p>
    <w:p w14:paraId="4510C07A" w14:textId="77777777" w:rsidR="00986E9E" w:rsidRPr="00986E9E" w:rsidRDefault="00986E9E" w:rsidP="00F276B1">
      <w:pPr>
        <w:spacing w:after="0" w:line="240" w:lineRule="auto"/>
        <w:ind w:left="720" w:hanging="720"/>
        <w:jc w:val="left"/>
        <w:rPr>
          <w:rFonts w:ascii="Times New Roman" w:eastAsia="Times New Roman" w:hAnsi="Times New Roman" w:cs="Times New Roman"/>
        </w:rPr>
      </w:pPr>
      <w:r w:rsidRPr="00986E9E">
        <w:rPr>
          <w:rFonts w:ascii="Times New Roman" w:eastAsia="Times New Roman" w:hAnsi="Times New Roman" w:cs="Times New Roman"/>
        </w:rPr>
        <w:t xml:space="preserve">Lee, K. S., &amp; Calvin, J. R. (2006). Stronger relationships, stronger communities: Lessons from a regional intergroup grant initiative. </w:t>
      </w:r>
      <w:r w:rsidRPr="00986E9E">
        <w:rPr>
          <w:rFonts w:ascii="Times New Roman" w:eastAsia="Times New Roman" w:hAnsi="Times New Roman" w:cs="Times New Roman"/>
          <w:i/>
          <w:iCs/>
        </w:rPr>
        <w:t>American journal of community psychology</w:t>
      </w:r>
      <w:r w:rsidRPr="00986E9E">
        <w:rPr>
          <w:rFonts w:ascii="Times New Roman" w:eastAsia="Times New Roman" w:hAnsi="Times New Roman" w:cs="Times New Roman"/>
        </w:rPr>
        <w:t xml:space="preserve">, </w:t>
      </w:r>
      <w:r w:rsidRPr="00986E9E">
        <w:rPr>
          <w:rFonts w:ascii="Times New Roman" w:eastAsia="Times New Roman" w:hAnsi="Times New Roman" w:cs="Times New Roman"/>
          <w:i/>
          <w:iCs/>
        </w:rPr>
        <w:t>37</w:t>
      </w:r>
      <w:r w:rsidRPr="00986E9E">
        <w:rPr>
          <w:rFonts w:ascii="Times New Roman" w:eastAsia="Times New Roman" w:hAnsi="Times New Roman" w:cs="Times New Roman"/>
        </w:rPr>
        <w:t xml:space="preserve">(3-4), 275-282. </w:t>
      </w:r>
    </w:p>
    <w:p w14:paraId="6F20D05D" w14:textId="77777777" w:rsidR="00986E9E" w:rsidRPr="00986E9E" w:rsidRDefault="00986E9E" w:rsidP="00F276B1">
      <w:pPr>
        <w:spacing w:after="0" w:line="240" w:lineRule="auto"/>
        <w:ind w:left="720" w:hanging="720"/>
        <w:jc w:val="left"/>
        <w:rPr>
          <w:rFonts w:ascii="Times New Roman" w:eastAsia="Times New Roman" w:hAnsi="Times New Roman" w:cs="Times New Roman"/>
        </w:rPr>
      </w:pPr>
      <w:r w:rsidRPr="00986E9E">
        <w:rPr>
          <w:rFonts w:ascii="Times New Roman" w:eastAsia="Times New Roman" w:hAnsi="Times New Roman" w:cs="Times New Roman"/>
        </w:rPr>
        <w:t xml:space="preserve">Nolan, C., Souza, B., Monopoli, M., &amp; Hughes, M. (2017). Funders as network strategists, weavers, and managers: Learning from one foundation’s journey and results. </w:t>
      </w:r>
      <w:r w:rsidRPr="00986E9E">
        <w:rPr>
          <w:rFonts w:ascii="Times New Roman" w:eastAsia="Times New Roman" w:hAnsi="Times New Roman" w:cs="Times New Roman"/>
          <w:i/>
          <w:iCs/>
        </w:rPr>
        <w:t>The Foundation Review</w:t>
      </w:r>
      <w:r w:rsidRPr="00986E9E">
        <w:rPr>
          <w:rFonts w:ascii="Times New Roman" w:eastAsia="Times New Roman" w:hAnsi="Times New Roman" w:cs="Times New Roman"/>
        </w:rPr>
        <w:t xml:space="preserve">, </w:t>
      </w:r>
      <w:r w:rsidRPr="00986E9E">
        <w:rPr>
          <w:rFonts w:ascii="Times New Roman" w:eastAsia="Times New Roman" w:hAnsi="Times New Roman" w:cs="Times New Roman"/>
          <w:i/>
          <w:iCs/>
        </w:rPr>
        <w:t>9</w:t>
      </w:r>
      <w:r w:rsidRPr="00986E9E">
        <w:rPr>
          <w:rFonts w:ascii="Times New Roman" w:eastAsia="Times New Roman" w:hAnsi="Times New Roman" w:cs="Times New Roman"/>
        </w:rPr>
        <w:t>(2), 5.</w:t>
      </w:r>
    </w:p>
    <w:p w14:paraId="58E662D7" w14:textId="77777777" w:rsidR="00986E9E" w:rsidRPr="00986E9E" w:rsidRDefault="00986E9E" w:rsidP="00F276B1">
      <w:pPr>
        <w:spacing w:after="0" w:line="240" w:lineRule="auto"/>
        <w:ind w:left="720" w:hanging="720"/>
        <w:jc w:val="left"/>
        <w:rPr>
          <w:rFonts w:ascii="Times New Roman" w:hAnsi="Times New Roman" w:cs="Times New Roman"/>
          <w:i/>
          <w:iCs/>
        </w:rPr>
      </w:pPr>
      <w:r w:rsidRPr="00986E9E">
        <w:rPr>
          <w:rFonts w:ascii="Times New Roman" w:hAnsi="Times New Roman" w:cs="Times New Roman"/>
        </w:rPr>
        <w:t xml:space="preserve">Packard Foundation. (2018). </w:t>
      </w:r>
      <w:r w:rsidRPr="00986E9E">
        <w:rPr>
          <w:rFonts w:ascii="Times New Roman" w:hAnsi="Times New Roman" w:cs="Times New Roman"/>
          <w:i/>
          <w:iCs/>
        </w:rPr>
        <w:t xml:space="preserve">Building Capacity Through Cohorts: What the Packard Foundation is Learning. Retrieved from </w:t>
      </w:r>
      <w:hyperlink r:id="rId8" w:history="1">
        <w:r w:rsidRPr="00986E9E">
          <w:rPr>
            <w:rStyle w:val="Hyperlink"/>
            <w:rFonts w:ascii="Times New Roman" w:hAnsi="Times New Roman" w:cs="Times New Roman"/>
            <w:i/>
            <w:iCs/>
          </w:rPr>
          <w:t>https://www.packard.org/insights/resource/building-capacity-through-cohorts-what-the-packard-foundation-is-learning/</w:t>
        </w:r>
      </w:hyperlink>
      <w:r w:rsidRPr="00986E9E">
        <w:rPr>
          <w:rFonts w:ascii="Times New Roman" w:hAnsi="Times New Roman" w:cs="Times New Roman"/>
          <w:i/>
          <w:iCs/>
        </w:rPr>
        <w:t xml:space="preserve"> </w:t>
      </w:r>
    </w:p>
    <w:p w14:paraId="2D16ABCB" w14:textId="77777777" w:rsidR="00986E9E" w:rsidRPr="00986E9E" w:rsidRDefault="00986E9E" w:rsidP="00F276B1">
      <w:pPr>
        <w:spacing w:after="0" w:line="240" w:lineRule="auto"/>
        <w:ind w:left="720" w:hanging="720"/>
        <w:jc w:val="left"/>
        <w:rPr>
          <w:rFonts w:ascii="Times New Roman" w:hAnsi="Times New Roman" w:cs="Times New Roman"/>
        </w:rPr>
      </w:pPr>
      <w:r w:rsidRPr="00986E9E">
        <w:rPr>
          <w:rFonts w:ascii="Times New Roman" w:hAnsi="Times New Roman" w:cs="Times New Roman"/>
        </w:rPr>
        <w:t>Reckhow, S., &amp; Snyder, J. W. (2014). The expanding role of philanthropy in education politics. Educational Researcher, 43(4), 186-195.</w:t>
      </w:r>
    </w:p>
    <w:p w14:paraId="59C95872" w14:textId="77777777" w:rsidR="00986E9E" w:rsidRPr="00986E9E" w:rsidRDefault="00986E9E" w:rsidP="00F276B1">
      <w:pPr>
        <w:spacing w:after="0" w:line="240" w:lineRule="auto"/>
        <w:ind w:left="720" w:hanging="720"/>
        <w:jc w:val="left"/>
        <w:rPr>
          <w:rFonts w:ascii="Times New Roman" w:hAnsi="Times New Roman" w:cs="Times New Roman"/>
        </w:rPr>
      </w:pPr>
      <w:r w:rsidRPr="00986E9E">
        <w:rPr>
          <w:rFonts w:ascii="Times New Roman" w:hAnsi="Times New Roman" w:cs="Times New Roman"/>
        </w:rPr>
        <w:t xml:space="preserve">Reich (2018). </w:t>
      </w:r>
      <w:r w:rsidRPr="00986E9E">
        <w:rPr>
          <w:rFonts w:ascii="Times New Roman" w:hAnsi="Times New Roman" w:cs="Times New Roman"/>
          <w:i/>
          <w:iCs/>
        </w:rPr>
        <w:t xml:space="preserve">Changing grantmaking to change the world: Reflecting on BUILD’s first year. </w:t>
      </w:r>
      <w:r w:rsidRPr="00986E9E">
        <w:rPr>
          <w:rFonts w:ascii="Times New Roman" w:hAnsi="Times New Roman" w:cs="Times New Roman"/>
        </w:rPr>
        <w:t xml:space="preserve">Retrieved from </w:t>
      </w:r>
      <w:hyperlink r:id="rId9" w:history="1">
        <w:r w:rsidRPr="00986E9E">
          <w:rPr>
            <w:rStyle w:val="Hyperlink"/>
            <w:rFonts w:ascii="Times New Roman" w:hAnsi="Times New Roman" w:cs="Times New Roman"/>
          </w:rPr>
          <w:t>https://philanthropynewsdigest.org/connections/changing-grant-making-to-change-the-world-reflecting-on-build-s-first-year</w:t>
        </w:r>
      </w:hyperlink>
      <w:r w:rsidRPr="00986E9E">
        <w:rPr>
          <w:rFonts w:ascii="Times New Roman" w:hAnsi="Times New Roman" w:cs="Times New Roman"/>
        </w:rPr>
        <w:t xml:space="preserve"> </w:t>
      </w:r>
    </w:p>
    <w:p w14:paraId="1C52F51E" w14:textId="77777777" w:rsidR="00986E9E" w:rsidRPr="00986E9E" w:rsidRDefault="00986E9E" w:rsidP="00F276B1">
      <w:pPr>
        <w:spacing w:after="0" w:line="240" w:lineRule="auto"/>
        <w:ind w:left="720" w:hanging="720"/>
        <w:jc w:val="left"/>
        <w:rPr>
          <w:rFonts w:ascii="Times New Roman" w:eastAsia="Times New Roman" w:hAnsi="Times New Roman" w:cs="Times New Roman"/>
        </w:rPr>
      </w:pPr>
      <w:r w:rsidRPr="00986E9E">
        <w:rPr>
          <w:rFonts w:ascii="Times New Roman" w:eastAsia="Times New Roman" w:hAnsi="Times New Roman" w:cs="Times New Roman"/>
        </w:rPr>
        <w:t xml:space="preserve">Searce, D. (2011). </w:t>
      </w:r>
      <w:r w:rsidRPr="00986E9E">
        <w:rPr>
          <w:rFonts w:ascii="Times New Roman" w:eastAsia="Times New Roman" w:hAnsi="Times New Roman" w:cs="Times New Roman"/>
          <w:i/>
          <w:iCs/>
        </w:rPr>
        <w:t>Catalyzing networks for social change: A funders guide.</w:t>
      </w:r>
      <w:r w:rsidRPr="00986E9E">
        <w:rPr>
          <w:rFonts w:ascii="Times New Roman" w:eastAsia="Times New Roman" w:hAnsi="Times New Roman" w:cs="Times New Roman"/>
        </w:rPr>
        <w:t xml:space="preserve"> Retrieved from Grantmakers for Effective Organizations &amp; the Monitor Institute website: </w:t>
      </w:r>
      <w:hyperlink r:id="rId10" w:history="1">
        <w:r w:rsidRPr="00986E9E">
          <w:rPr>
            <w:rStyle w:val="Hyperlink"/>
            <w:rFonts w:ascii="Times New Roman" w:eastAsia="Times New Roman" w:hAnsi="Times New Roman" w:cs="Times New Roman"/>
          </w:rPr>
          <w:t>https://www.geofunders.org/resources/catalyzing-networks-for-social-change-a-funder-s-guide-685</w:t>
        </w:r>
      </w:hyperlink>
      <w:r w:rsidRPr="00986E9E">
        <w:rPr>
          <w:rFonts w:ascii="Times New Roman" w:eastAsia="Times New Roman" w:hAnsi="Times New Roman" w:cs="Times New Roman"/>
        </w:rPr>
        <w:t xml:space="preserve"> </w:t>
      </w:r>
    </w:p>
    <w:p w14:paraId="3592425C" w14:textId="77777777" w:rsidR="00986E9E" w:rsidRPr="00986E9E" w:rsidRDefault="00986E9E" w:rsidP="00F276B1">
      <w:pPr>
        <w:spacing w:after="0" w:line="240" w:lineRule="auto"/>
        <w:ind w:left="720" w:hanging="720"/>
        <w:jc w:val="left"/>
        <w:rPr>
          <w:rFonts w:ascii="Times New Roman" w:eastAsia="Times New Roman" w:hAnsi="Times New Roman" w:cs="Times New Roman"/>
        </w:rPr>
      </w:pPr>
      <w:r w:rsidRPr="00986E9E">
        <w:rPr>
          <w:rFonts w:ascii="Times New Roman" w:eastAsia="Times New Roman" w:hAnsi="Times New Roman" w:cs="Times New Roman"/>
        </w:rPr>
        <w:t>Scott, J. (2009). The politics of venture philanthropy in charter school policy and advocacy. Educational Policy, 23(1), 106-136.</w:t>
      </w:r>
    </w:p>
    <w:p w14:paraId="312F7D62" w14:textId="77777777" w:rsidR="00986E9E" w:rsidRPr="00986E9E" w:rsidRDefault="00986E9E" w:rsidP="00F276B1">
      <w:pPr>
        <w:spacing w:after="0" w:line="240" w:lineRule="auto"/>
        <w:ind w:left="720" w:hanging="720"/>
        <w:jc w:val="left"/>
        <w:rPr>
          <w:rFonts w:ascii="Times New Roman" w:hAnsi="Times New Roman" w:cs="Times New Roman"/>
        </w:rPr>
      </w:pPr>
      <w:r w:rsidRPr="00986E9E">
        <w:rPr>
          <w:rFonts w:ascii="Times New Roman" w:hAnsi="Times New Roman" w:cs="Times New Roman"/>
        </w:rPr>
        <w:t>Taddy-Sandino, S., Gray, M., &amp; Scaturro, D. (2019). Learning together: cohort-based capacity building and the ripple effects of collaboration. The Foundation Review, 11(2), 7</w:t>
      </w:r>
    </w:p>
    <w:p w14:paraId="2E944A2B" w14:textId="77777777" w:rsidR="00986E9E" w:rsidRPr="00986E9E" w:rsidRDefault="00986E9E" w:rsidP="00F276B1">
      <w:pPr>
        <w:spacing w:after="0" w:line="240" w:lineRule="auto"/>
        <w:ind w:left="720" w:hanging="720"/>
        <w:jc w:val="left"/>
        <w:rPr>
          <w:rFonts w:ascii="Times New Roman" w:eastAsia="Times New Roman" w:hAnsi="Times New Roman" w:cs="Times New Roman"/>
        </w:rPr>
      </w:pPr>
      <w:r w:rsidRPr="00986E9E">
        <w:rPr>
          <w:rFonts w:ascii="Times New Roman" w:eastAsia="Times New Roman" w:hAnsi="Times New Roman" w:cs="Times New Roman"/>
        </w:rPr>
        <w:t>Wenger, E., McDermott, R. A., &amp; Snyder, W. (2002). Cultivating communities of practice: A guide to managing knowledge. Harvard Business Press.</w:t>
      </w:r>
    </w:p>
    <w:p w14:paraId="65CB8E54" w14:textId="77777777" w:rsidR="00986E9E" w:rsidRPr="00B3454D" w:rsidRDefault="00986E9E" w:rsidP="00F276B1">
      <w:pPr>
        <w:spacing w:after="0"/>
        <w:rPr>
          <w:rFonts w:ascii="Times New Roman" w:hAnsi="Times New Roman" w:cs="Times New Roman"/>
        </w:rPr>
      </w:pPr>
    </w:p>
    <w:sectPr w:rsidR="00986E9E" w:rsidRPr="00B3454D" w:rsidSect="002C3F2E">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7DFE1" w14:textId="77777777" w:rsidR="00A97BEA" w:rsidRDefault="00A97BEA" w:rsidP="001329D8">
      <w:pPr>
        <w:spacing w:after="0" w:line="240" w:lineRule="auto"/>
      </w:pPr>
      <w:r>
        <w:separator/>
      </w:r>
    </w:p>
  </w:endnote>
  <w:endnote w:type="continuationSeparator" w:id="0">
    <w:p w14:paraId="10AAAA71" w14:textId="77777777" w:rsidR="00A97BEA" w:rsidRDefault="00A97BEA" w:rsidP="00132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D574B" w14:textId="77777777" w:rsidR="00A97BEA" w:rsidRDefault="00A97BEA" w:rsidP="001329D8">
      <w:pPr>
        <w:spacing w:after="0" w:line="240" w:lineRule="auto"/>
      </w:pPr>
      <w:r>
        <w:separator/>
      </w:r>
    </w:p>
  </w:footnote>
  <w:footnote w:type="continuationSeparator" w:id="0">
    <w:p w14:paraId="7F196F7F" w14:textId="77777777" w:rsidR="00A97BEA" w:rsidRDefault="00A97BEA" w:rsidP="00132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532364"/>
      <w:docPartObj>
        <w:docPartGallery w:val="Page Numbers (Top of Page)"/>
        <w:docPartUnique/>
      </w:docPartObj>
    </w:sdtPr>
    <w:sdtEndPr>
      <w:rPr>
        <w:noProof/>
      </w:rPr>
    </w:sdtEndPr>
    <w:sdtContent>
      <w:p w14:paraId="21F76B5C" w14:textId="100D4EFA" w:rsidR="001329D8" w:rsidRDefault="001329D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50A85A" w14:textId="77777777" w:rsidR="001329D8" w:rsidRDefault="00132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5380"/>
    <w:multiLevelType w:val="hybridMultilevel"/>
    <w:tmpl w:val="21BC9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E2920"/>
    <w:multiLevelType w:val="hybridMultilevel"/>
    <w:tmpl w:val="C82AA30A"/>
    <w:lvl w:ilvl="0" w:tplc="380EE3E4">
      <w:start w:val="1"/>
      <w:numFmt w:val="bullet"/>
      <w:lvlText w:val="•"/>
      <w:lvlJc w:val="left"/>
      <w:pPr>
        <w:tabs>
          <w:tab w:val="num" w:pos="720"/>
        </w:tabs>
        <w:ind w:left="720" w:hanging="360"/>
      </w:pPr>
      <w:rPr>
        <w:rFonts w:ascii="Times New Roman" w:hAnsi="Times New Roman" w:hint="default"/>
      </w:rPr>
    </w:lvl>
    <w:lvl w:ilvl="1" w:tplc="6220C3A6" w:tentative="1">
      <w:start w:val="1"/>
      <w:numFmt w:val="bullet"/>
      <w:lvlText w:val="•"/>
      <w:lvlJc w:val="left"/>
      <w:pPr>
        <w:tabs>
          <w:tab w:val="num" w:pos="1440"/>
        </w:tabs>
        <w:ind w:left="1440" w:hanging="360"/>
      </w:pPr>
      <w:rPr>
        <w:rFonts w:ascii="Times New Roman" w:hAnsi="Times New Roman" w:hint="default"/>
      </w:rPr>
    </w:lvl>
    <w:lvl w:ilvl="2" w:tplc="4A2ABEA8" w:tentative="1">
      <w:start w:val="1"/>
      <w:numFmt w:val="bullet"/>
      <w:lvlText w:val="•"/>
      <w:lvlJc w:val="left"/>
      <w:pPr>
        <w:tabs>
          <w:tab w:val="num" w:pos="2160"/>
        </w:tabs>
        <w:ind w:left="2160" w:hanging="360"/>
      </w:pPr>
      <w:rPr>
        <w:rFonts w:ascii="Times New Roman" w:hAnsi="Times New Roman" w:hint="default"/>
      </w:rPr>
    </w:lvl>
    <w:lvl w:ilvl="3" w:tplc="B15EF9A4" w:tentative="1">
      <w:start w:val="1"/>
      <w:numFmt w:val="bullet"/>
      <w:lvlText w:val="•"/>
      <w:lvlJc w:val="left"/>
      <w:pPr>
        <w:tabs>
          <w:tab w:val="num" w:pos="2880"/>
        </w:tabs>
        <w:ind w:left="2880" w:hanging="360"/>
      </w:pPr>
      <w:rPr>
        <w:rFonts w:ascii="Times New Roman" w:hAnsi="Times New Roman" w:hint="default"/>
      </w:rPr>
    </w:lvl>
    <w:lvl w:ilvl="4" w:tplc="C6369A5C" w:tentative="1">
      <w:start w:val="1"/>
      <w:numFmt w:val="bullet"/>
      <w:lvlText w:val="•"/>
      <w:lvlJc w:val="left"/>
      <w:pPr>
        <w:tabs>
          <w:tab w:val="num" w:pos="3600"/>
        </w:tabs>
        <w:ind w:left="3600" w:hanging="360"/>
      </w:pPr>
      <w:rPr>
        <w:rFonts w:ascii="Times New Roman" w:hAnsi="Times New Roman" w:hint="default"/>
      </w:rPr>
    </w:lvl>
    <w:lvl w:ilvl="5" w:tplc="67DE1EC6" w:tentative="1">
      <w:start w:val="1"/>
      <w:numFmt w:val="bullet"/>
      <w:lvlText w:val="•"/>
      <w:lvlJc w:val="left"/>
      <w:pPr>
        <w:tabs>
          <w:tab w:val="num" w:pos="4320"/>
        </w:tabs>
        <w:ind w:left="4320" w:hanging="360"/>
      </w:pPr>
      <w:rPr>
        <w:rFonts w:ascii="Times New Roman" w:hAnsi="Times New Roman" w:hint="default"/>
      </w:rPr>
    </w:lvl>
    <w:lvl w:ilvl="6" w:tplc="1ABAD186" w:tentative="1">
      <w:start w:val="1"/>
      <w:numFmt w:val="bullet"/>
      <w:lvlText w:val="•"/>
      <w:lvlJc w:val="left"/>
      <w:pPr>
        <w:tabs>
          <w:tab w:val="num" w:pos="5040"/>
        </w:tabs>
        <w:ind w:left="5040" w:hanging="360"/>
      </w:pPr>
      <w:rPr>
        <w:rFonts w:ascii="Times New Roman" w:hAnsi="Times New Roman" w:hint="default"/>
      </w:rPr>
    </w:lvl>
    <w:lvl w:ilvl="7" w:tplc="913C1BBA" w:tentative="1">
      <w:start w:val="1"/>
      <w:numFmt w:val="bullet"/>
      <w:lvlText w:val="•"/>
      <w:lvlJc w:val="left"/>
      <w:pPr>
        <w:tabs>
          <w:tab w:val="num" w:pos="5760"/>
        </w:tabs>
        <w:ind w:left="5760" w:hanging="360"/>
      </w:pPr>
      <w:rPr>
        <w:rFonts w:ascii="Times New Roman" w:hAnsi="Times New Roman" w:hint="default"/>
      </w:rPr>
    </w:lvl>
    <w:lvl w:ilvl="8" w:tplc="F93C018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E7093E"/>
    <w:multiLevelType w:val="hybridMultilevel"/>
    <w:tmpl w:val="0B5AC594"/>
    <w:lvl w:ilvl="0" w:tplc="6118652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A060DC"/>
    <w:multiLevelType w:val="hybridMultilevel"/>
    <w:tmpl w:val="5AAE1DF2"/>
    <w:lvl w:ilvl="0" w:tplc="17185F70">
      <w:start w:val="1"/>
      <w:numFmt w:val="bullet"/>
      <w:lvlText w:val="•"/>
      <w:lvlJc w:val="left"/>
      <w:pPr>
        <w:tabs>
          <w:tab w:val="num" w:pos="720"/>
        </w:tabs>
        <w:ind w:left="720" w:hanging="360"/>
      </w:pPr>
      <w:rPr>
        <w:rFonts w:ascii="Times New Roman" w:hAnsi="Times New Roman" w:hint="default"/>
      </w:rPr>
    </w:lvl>
    <w:lvl w:ilvl="1" w:tplc="AFB8918C" w:tentative="1">
      <w:start w:val="1"/>
      <w:numFmt w:val="bullet"/>
      <w:lvlText w:val="•"/>
      <w:lvlJc w:val="left"/>
      <w:pPr>
        <w:tabs>
          <w:tab w:val="num" w:pos="1440"/>
        </w:tabs>
        <w:ind w:left="1440" w:hanging="360"/>
      </w:pPr>
      <w:rPr>
        <w:rFonts w:ascii="Times New Roman" w:hAnsi="Times New Roman" w:hint="default"/>
      </w:rPr>
    </w:lvl>
    <w:lvl w:ilvl="2" w:tplc="2D048134" w:tentative="1">
      <w:start w:val="1"/>
      <w:numFmt w:val="bullet"/>
      <w:lvlText w:val="•"/>
      <w:lvlJc w:val="left"/>
      <w:pPr>
        <w:tabs>
          <w:tab w:val="num" w:pos="2160"/>
        </w:tabs>
        <w:ind w:left="2160" w:hanging="360"/>
      </w:pPr>
      <w:rPr>
        <w:rFonts w:ascii="Times New Roman" w:hAnsi="Times New Roman" w:hint="default"/>
      </w:rPr>
    </w:lvl>
    <w:lvl w:ilvl="3" w:tplc="1938D89C" w:tentative="1">
      <w:start w:val="1"/>
      <w:numFmt w:val="bullet"/>
      <w:lvlText w:val="•"/>
      <w:lvlJc w:val="left"/>
      <w:pPr>
        <w:tabs>
          <w:tab w:val="num" w:pos="2880"/>
        </w:tabs>
        <w:ind w:left="2880" w:hanging="360"/>
      </w:pPr>
      <w:rPr>
        <w:rFonts w:ascii="Times New Roman" w:hAnsi="Times New Roman" w:hint="default"/>
      </w:rPr>
    </w:lvl>
    <w:lvl w:ilvl="4" w:tplc="683EA520" w:tentative="1">
      <w:start w:val="1"/>
      <w:numFmt w:val="bullet"/>
      <w:lvlText w:val="•"/>
      <w:lvlJc w:val="left"/>
      <w:pPr>
        <w:tabs>
          <w:tab w:val="num" w:pos="3600"/>
        </w:tabs>
        <w:ind w:left="3600" w:hanging="360"/>
      </w:pPr>
      <w:rPr>
        <w:rFonts w:ascii="Times New Roman" w:hAnsi="Times New Roman" w:hint="default"/>
      </w:rPr>
    </w:lvl>
    <w:lvl w:ilvl="5" w:tplc="60BA372C" w:tentative="1">
      <w:start w:val="1"/>
      <w:numFmt w:val="bullet"/>
      <w:lvlText w:val="•"/>
      <w:lvlJc w:val="left"/>
      <w:pPr>
        <w:tabs>
          <w:tab w:val="num" w:pos="4320"/>
        </w:tabs>
        <w:ind w:left="4320" w:hanging="360"/>
      </w:pPr>
      <w:rPr>
        <w:rFonts w:ascii="Times New Roman" w:hAnsi="Times New Roman" w:hint="default"/>
      </w:rPr>
    </w:lvl>
    <w:lvl w:ilvl="6" w:tplc="DC486D9E" w:tentative="1">
      <w:start w:val="1"/>
      <w:numFmt w:val="bullet"/>
      <w:lvlText w:val="•"/>
      <w:lvlJc w:val="left"/>
      <w:pPr>
        <w:tabs>
          <w:tab w:val="num" w:pos="5040"/>
        </w:tabs>
        <w:ind w:left="5040" w:hanging="360"/>
      </w:pPr>
      <w:rPr>
        <w:rFonts w:ascii="Times New Roman" w:hAnsi="Times New Roman" w:hint="default"/>
      </w:rPr>
    </w:lvl>
    <w:lvl w:ilvl="7" w:tplc="BA6E9F50" w:tentative="1">
      <w:start w:val="1"/>
      <w:numFmt w:val="bullet"/>
      <w:lvlText w:val="•"/>
      <w:lvlJc w:val="left"/>
      <w:pPr>
        <w:tabs>
          <w:tab w:val="num" w:pos="5760"/>
        </w:tabs>
        <w:ind w:left="5760" w:hanging="360"/>
      </w:pPr>
      <w:rPr>
        <w:rFonts w:ascii="Times New Roman" w:hAnsi="Times New Roman" w:hint="default"/>
      </w:rPr>
    </w:lvl>
    <w:lvl w:ilvl="8" w:tplc="4A2E5A9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65D4A00"/>
    <w:multiLevelType w:val="hybridMultilevel"/>
    <w:tmpl w:val="1F8C8EBA"/>
    <w:lvl w:ilvl="0" w:tplc="2264B6E0">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80581"/>
    <w:multiLevelType w:val="hybridMultilevel"/>
    <w:tmpl w:val="C8FAC24E"/>
    <w:lvl w:ilvl="0" w:tplc="D47E6608">
      <w:start w:val="1"/>
      <w:numFmt w:val="bullet"/>
      <w:lvlText w:val="•"/>
      <w:lvlJc w:val="left"/>
      <w:pPr>
        <w:tabs>
          <w:tab w:val="num" w:pos="720"/>
        </w:tabs>
        <w:ind w:left="720" w:hanging="360"/>
      </w:pPr>
      <w:rPr>
        <w:rFonts w:ascii="Times New Roman" w:hAnsi="Times New Roman" w:hint="default"/>
      </w:rPr>
    </w:lvl>
    <w:lvl w:ilvl="1" w:tplc="C658A50C" w:tentative="1">
      <w:start w:val="1"/>
      <w:numFmt w:val="bullet"/>
      <w:lvlText w:val="•"/>
      <w:lvlJc w:val="left"/>
      <w:pPr>
        <w:tabs>
          <w:tab w:val="num" w:pos="1440"/>
        </w:tabs>
        <w:ind w:left="1440" w:hanging="360"/>
      </w:pPr>
      <w:rPr>
        <w:rFonts w:ascii="Times New Roman" w:hAnsi="Times New Roman" w:hint="default"/>
      </w:rPr>
    </w:lvl>
    <w:lvl w:ilvl="2" w:tplc="31829D0E" w:tentative="1">
      <w:start w:val="1"/>
      <w:numFmt w:val="bullet"/>
      <w:lvlText w:val="•"/>
      <w:lvlJc w:val="left"/>
      <w:pPr>
        <w:tabs>
          <w:tab w:val="num" w:pos="2160"/>
        </w:tabs>
        <w:ind w:left="2160" w:hanging="360"/>
      </w:pPr>
      <w:rPr>
        <w:rFonts w:ascii="Times New Roman" w:hAnsi="Times New Roman" w:hint="default"/>
      </w:rPr>
    </w:lvl>
    <w:lvl w:ilvl="3" w:tplc="BD34ED2E" w:tentative="1">
      <w:start w:val="1"/>
      <w:numFmt w:val="bullet"/>
      <w:lvlText w:val="•"/>
      <w:lvlJc w:val="left"/>
      <w:pPr>
        <w:tabs>
          <w:tab w:val="num" w:pos="2880"/>
        </w:tabs>
        <w:ind w:left="2880" w:hanging="360"/>
      </w:pPr>
      <w:rPr>
        <w:rFonts w:ascii="Times New Roman" w:hAnsi="Times New Roman" w:hint="default"/>
      </w:rPr>
    </w:lvl>
    <w:lvl w:ilvl="4" w:tplc="7F2409A2" w:tentative="1">
      <w:start w:val="1"/>
      <w:numFmt w:val="bullet"/>
      <w:lvlText w:val="•"/>
      <w:lvlJc w:val="left"/>
      <w:pPr>
        <w:tabs>
          <w:tab w:val="num" w:pos="3600"/>
        </w:tabs>
        <w:ind w:left="3600" w:hanging="360"/>
      </w:pPr>
      <w:rPr>
        <w:rFonts w:ascii="Times New Roman" w:hAnsi="Times New Roman" w:hint="default"/>
      </w:rPr>
    </w:lvl>
    <w:lvl w:ilvl="5" w:tplc="F16E95E8" w:tentative="1">
      <w:start w:val="1"/>
      <w:numFmt w:val="bullet"/>
      <w:lvlText w:val="•"/>
      <w:lvlJc w:val="left"/>
      <w:pPr>
        <w:tabs>
          <w:tab w:val="num" w:pos="4320"/>
        </w:tabs>
        <w:ind w:left="4320" w:hanging="360"/>
      </w:pPr>
      <w:rPr>
        <w:rFonts w:ascii="Times New Roman" w:hAnsi="Times New Roman" w:hint="default"/>
      </w:rPr>
    </w:lvl>
    <w:lvl w:ilvl="6" w:tplc="4E125656" w:tentative="1">
      <w:start w:val="1"/>
      <w:numFmt w:val="bullet"/>
      <w:lvlText w:val="•"/>
      <w:lvlJc w:val="left"/>
      <w:pPr>
        <w:tabs>
          <w:tab w:val="num" w:pos="5040"/>
        </w:tabs>
        <w:ind w:left="5040" w:hanging="360"/>
      </w:pPr>
      <w:rPr>
        <w:rFonts w:ascii="Times New Roman" w:hAnsi="Times New Roman" w:hint="default"/>
      </w:rPr>
    </w:lvl>
    <w:lvl w:ilvl="7" w:tplc="BCC45556" w:tentative="1">
      <w:start w:val="1"/>
      <w:numFmt w:val="bullet"/>
      <w:lvlText w:val="•"/>
      <w:lvlJc w:val="left"/>
      <w:pPr>
        <w:tabs>
          <w:tab w:val="num" w:pos="5760"/>
        </w:tabs>
        <w:ind w:left="5760" w:hanging="360"/>
      </w:pPr>
      <w:rPr>
        <w:rFonts w:ascii="Times New Roman" w:hAnsi="Times New Roman" w:hint="default"/>
      </w:rPr>
    </w:lvl>
    <w:lvl w:ilvl="8" w:tplc="179C0C6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A516B8C"/>
    <w:multiLevelType w:val="hybridMultilevel"/>
    <w:tmpl w:val="144A9B24"/>
    <w:lvl w:ilvl="0" w:tplc="6DEEDE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767C28"/>
    <w:multiLevelType w:val="hybridMultilevel"/>
    <w:tmpl w:val="D5A0E24E"/>
    <w:lvl w:ilvl="0" w:tplc="0409000F">
      <w:start w:val="1"/>
      <w:numFmt w:val="decimal"/>
      <w:lvlText w:val="%1."/>
      <w:lvlJc w:val="left"/>
      <w:pPr>
        <w:ind w:left="1133" w:hanging="360"/>
      </w:p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num w:numId="1">
    <w:abstractNumId w:val="4"/>
  </w:num>
  <w:num w:numId="2">
    <w:abstractNumId w:val="2"/>
  </w:num>
  <w:num w:numId="3">
    <w:abstractNumId w:val="7"/>
  </w:num>
  <w:num w:numId="4">
    <w:abstractNumId w:val="6"/>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D08"/>
    <w:rsid w:val="00040DB6"/>
    <w:rsid w:val="000B1EAB"/>
    <w:rsid w:val="000C7C08"/>
    <w:rsid w:val="000F2E38"/>
    <w:rsid w:val="001329D8"/>
    <w:rsid w:val="001434DE"/>
    <w:rsid w:val="00176D54"/>
    <w:rsid w:val="001B2D08"/>
    <w:rsid w:val="001D4F51"/>
    <w:rsid w:val="00212606"/>
    <w:rsid w:val="00262756"/>
    <w:rsid w:val="002733FF"/>
    <w:rsid w:val="00283A6E"/>
    <w:rsid w:val="002C3F2E"/>
    <w:rsid w:val="002E4151"/>
    <w:rsid w:val="00440A31"/>
    <w:rsid w:val="004B62A2"/>
    <w:rsid w:val="006207D2"/>
    <w:rsid w:val="00662803"/>
    <w:rsid w:val="006A46BC"/>
    <w:rsid w:val="007028DA"/>
    <w:rsid w:val="008870C3"/>
    <w:rsid w:val="00887A2C"/>
    <w:rsid w:val="00930F69"/>
    <w:rsid w:val="0094798D"/>
    <w:rsid w:val="00986E9E"/>
    <w:rsid w:val="00A262A6"/>
    <w:rsid w:val="00A5199B"/>
    <w:rsid w:val="00A87C21"/>
    <w:rsid w:val="00A9571A"/>
    <w:rsid w:val="00A95A37"/>
    <w:rsid w:val="00A97BEA"/>
    <w:rsid w:val="00AA7947"/>
    <w:rsid w:val="00B166C0"/>
    <w:rsid w:val="00B3454D"/>
    <w:rsid w:val="00B84B0B"/>
    <w:rsid w:val="00BF30A9"/>
    <w:rsid w:val="00D54C4B"/>
    <w:rsid w:val="00DA6700"/>
    <w:rsid w:val="00E12986"/>
    <w:rsid w:val="00E27AA9"/>
    <w:rsid w:val="00E56EE4"/>
    <w:rsid w:val="00E9102A"/>
    <w:rsid w:val="00F2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F7413"/>
  <w15:chartTrackingRefBased/>
  <w15:docId w15:val="{1E197481-5293-4CF6-B9E8-3105025D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E38"/>
  </w:style>
  <w:style w:type="paragraph" w:styleId="Heading1">
    <w:name w:val="heading 1"/>
    <w:basedOn w:val="Normal"/>
    <w:next w:val="Normal"/>
    <w:link w:val="Heading1Char"/>
    <w:uiPriority w:val="9"/>
    <w:qFormat/>
    <w:rsid w:val="000F2E38"/>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0F2E38"/>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0F2E38"/>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0F2E38"/>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0F2E38"/>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0F2E38"/>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0F2E38"/>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0F2E38"/>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0F2E38"/>
    <w:pPr>
      <w:spacing w:after="0"/>
      <w:jc w:val="left"/>
      <w:outlineLvl w:val="8"/>
    </w:pPr>
    <w:rPr>
      <w:b/>
      <w:bCs/>
      <w:i/>
      <w:iCs/>
      <w:smallCaps/>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E38"/>
    <w:rPr>
      <w:smallCaps/>
      <w:spacing w:val="5"/>
      <w:sz w:val="32"/>
      <w:szCs w:val="32"/>
    </w:rPr>
  </w:style>
  <w:style w:type="character" w:customStyle="1" w:styleId="Heading2Char">
    <w:name w:val="Heading 2 Char"/>
    <w:basedOn w:val="DefaultParagraphFont"/>
    <w:link w:val="Heading2"/>
    <w:uiPriority w:val="9"/>
    <w:semiHidden/>
    <w:rsid w:val="000F2E38"/>
    <w:rPr>
      <w:smallCaps/>
      <w:spacing w:val="5"/>
      <w:sz w:val="28"/>
      <w:szCs w:val="28"/>
    </w:rPr>
  </w:style>
  <w:style w:type="character" w:customStyle="1" w:styleId="Heading3Char">
    <w:name w:val="Heading 3 Char"/>
    <w:basedOn w:val="DefaultParagraphFont"/>
    <w:link w:val="Heading3"/>
    <w:uiPriority w:val="9"/>
    <w:semiHidden/>
    <w:rsid w:val="000F2E38"/>
    <w:rPr>
      <w:smallCaps/>
      <w:spacing w:val="5"/>
      <w:sz w:val="24"/>
      <w:szCs w:val="24"/>
    </w:rPr>
  </w:style>
  <w:style w:type="character" w:customStyle="1" w:styleId="Heading4Char">
    <w:name w:val="Heading 4 Char"/>
    <w:basedOn w:val="DefaultParagraphFont"/>
    <w:link w:val="Heading4"/>
    <w:uiPriority w:val="9"/>
    <w:semiHidden/>
    <w:rsid w:val="000F2E38"/>
    <w:rPr>
      <w:i/>
      <w:iCs/>
      <w:smallCaps/>
      <w:spacing w:val="10"/>
      <w:sz w:val="22"/>
      <w:szCs w:val="22"/>
    </w:rPr>
  </w:style>
  <w:style w:type="character" w:customStyle="1" w:styleId="Heading5Char">
    <w:name w:val="Heading 5 Char"/>
    <w:basedOn w:val="DefaultParagraphFont"/>
    <w:link w:val="Heading5"/>
    <w:uiPriority w:val="9"/>
    <w:semiHidden/>
    <w:rsid w:val="000F2E38"/>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0F2E38"/>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0F2E38"/>
    <w:rPr>
      <w:b/>
      <w:bCs/>
      <w:smallCaps/>
      <w:color w:val="70AD47" w:themeColor="accent6"/>
      <w:spacing w:val="10"/>
    </w:rPr>
  </w:style>
  <w:style w:type="character" w:customStyle="1" w:styleId="Heading8Char">
    <w:name w:val="Heading 8 Char"/>
    <w:basedOn w:val="DefaultParagraphFont"/>
    <w:link w:val="Heading8"/>
    <w:uiPriority w:val="9"/>
    <w:semiHidden/>
    <w:rsid w:val="000F2E38"/>
    <w:rPr>
      <w:b/>
      <w:bCs/>
      <w:i/>
      <w:iCs/>
      <w:smallCaps/>
      <w:color w:val="538135" w:themeColor="accent6" w:themeShade="BF"/>
    </w:rPr>
  </w:style>
  <w:style w:type="character" w:customStyle="1" w:styleId="Heading9Char">
    <w:name w:val="Heading 9 Char"/>
    <w:basedOn w:val="DefaultParagraphFont"/>
    <w:link w:val="Heading9"/>
    <w:uiPriority w:val="9"/>
    <w:semiHidden/>
    <w:rsid w:val="000F2E38"/>
    <w:rPr>
      <w:b/>
      <w:bCs/>
      <w:i/>
      <w:iCs/>
      <w:smallCaps/>
      <w:color w:val="385623" w:themeColor="accent6" w:themeShade="80"/>
    </w:rPr>
  </w:style>
  <w:style w:type="paragraph" w:styleId="Caption">
    <w:name w:val="caption"/>
    <w:basedOn w:val="Normal"/>
    <w:next w:val="Normal"/>
    <w:uiPriority w:val="35"/>
    <w:semiHidden/>
    <w:unhideWhenUsed/>
    <w:qFormat/>
    <w:rsid w:val="000F2E38"/>
    <w:rPr>
      <w:b/>
      <w:bCs/>
      <w:caps/>
      <w:sz w:val="16"/>
      <w:szCs w:val="16"/>
    </w:rPr>
  </w:style>
  <w:style w:type="paragraph" w:styleId="Title">
    <w:name w:val="Title"/>
    <w:basedOn w:val="Normal"/>
    <w:next w:val="Normal"/>
    <w:link w:val="TitleChar"/>
    <w:uiPriority w:val="10"/>
    <w:qFormat/>
    <w:rsid w:val="000F2E38"/>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0F2E38"/>
    <w:rPr>
      <w:smallCaps/>
      <w:color w:val="262626" w:themeColor="text1" w:themeTint="D9"/>
      <w:sz w:val="52"/>
      <w:szCs w:val="52"/>
    </w:rPr>
  </w:style>
  <w:style w:type="paragraph" w:styleId="Subtitle">
    <w:name w:val="Subtitle"/>
    <w:basedOn w:val="Normal"/>
    <w:next w:val="Normal"/>
    <w:link w:val="SubtitleChar"/>
    <w:uiPriority w:val="11"/>
    <w:qFormat/>
    <w:rsid w:val="000F2E38"/>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F2E38"/>
    <w:rPr>
      <w:rFonts w:asciiTheme="majorHAnsi" w:eastAsiaTheme="majorEastAsia" w:hAnsiTheme="majorHAnsi" w:cstheme="majorBidi"/>
    </w:rPr>
  </w:style>
  <w:style w:type="character" w:styleId="Strong">
    <w:name w:val="Strong"/>
    <w:uiPriority w:val="22"/>
    <w:qFormat/>
    <w:rsid w:val="000F2E38"/>
    <w:rPr>
      <w:b/>
      <w:bCs/>
      <w:color w:val="70AD47" w:themeColor="accent6"/>
    </w:rPr>
  </w:style>
  <w:style w:type="character" w:styleId="Emphasis">
    <w:name w:val="Emphasis"/>
    <w:uiPriority w:val="20"/>
    <w:qFormat/>
    <w:rsid w:val="000F2E38"/>
    <w:rPr>
      <w:b/>
      <w:bCs/>
      <w:i/>
      <w:iCs/>
      <w:spacing w:val="10"/>
    </w:rPr>
  </w:style>
  <w:style w:type="paragraph" w:styleId="NoSpacing">
    <w:name w:val="No Spacing"/>
    <w:uiPriority w:val="1"/>
    <w:qFormat/>
    <w:rsid w:val="000F2E38"/>
    <w:pPr>
      <w:spacing w:after="0" w:line="240" w:lineRule="auto"/>
    </w:pPr>
  </w:style>
  <w:style w:type="paragraph" w:styleId="ListParagraph">
    <w:name w:val="List Paragraph"/>
    <w:basedOn w:val="Normal"/>
    <w:uiPriority w:val="34"/>
    <w:qFormat/>
    <w:rsid w:val="000F2E38"/>
    <w:pPr>
      <w:ind w:left="720"/>
      <w:contextualSpacing/>
    </w:pPr>
  </w:style>
  <w:style w:type="paragraph" w:styleId="Quote">
    <w:name w:val="Quote"/>
    <w:basedOn w:val="Normal"/>
    <w:next w:val="Normal"/>
    <w:link w:val="QuoteChar"/>
    <w:uiPriority w:val="29"/>
    <w:qFormat/>
    <w:rsid w:val="000F2E38"/>
    <w:rPr>
      <w:i/>
      <w:iCs/>
    </w:rPr>
  </w:style>
  <w:style w:type="character" w:customStyle="1" w:styleId="QuoteChar">
    <w:name w:val="Quote Char"/>
    <w:basedOn w:val="DefaultParagraphFont"/>
    <w:link w:val="Quote"/>
    <w:uiPriority w:val="29"/>
    <w:rsid w:val="000F2E38"/>
    <w:rPr>
      <w:i/>
      <w:iCs/>
    </w:rPr>
  </w:style>
  <w:style w:type="paragraph" w:styleId="IntenseQuote">
    <w:name w:val="Intense Quote"/>
    <w:basedOn w:val="Normal"/>
    <w:next w:val="Normal"/>
    <w:link w:val="IntenseQuoteChar"/>
    <w:uiPriority w:val="30"/>
    <w:qFormat/>
    <w:rsid w:val="000F2E38"/>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0F2E38"/>
    <w:rPr>
      <w:b/>
      <w:bCs/>
      <w:i/>
      <w:iCs/>
    </w:rPr>
  </w:style>
  <w:style w:type="character" w:styleId="SubtleEmphasis">
    <w:name w:val="Subtle Emphasis"/>
    <w:uiPriority w:val="19"/>
    <w:qFormat/>
    <w:rsid w:val="000F2E38"/>
    <w:rPr>
      <w:i/>
      <w:iCs/>
    </w:rPr>
  </w:style>
  <w:style w:type="character" w:styleId="IntenseEmphasis">
    <w:name w:val="Intense Emphasis"/>
    <w:uiPriority w:val="21"/>
    <w:qFormat/>
    <w:rsid w:val="000F2E38"/>
    <w:rPr>
      <w:b/>
      <w:bCs/>
      <w:i/>
      <w:iCs/>
      <w:color w:val="70AD47" w:themeColor="accent6"/>
      <w:spacing w:val="10"/>
    </w:rPr>
  </w:style>
  <w:style w:type="character" w:styleId="SubtleReference">
    <w:name w:val="Subtle Reference"/>
    <w:uiPriority w:val="31"/>
    <w:qFormat/>
    <w:rsid w:val="000F2E38"/>
    <w:rPr>
      <w:b/>
      <w:bCs/>
    </w:rPr>
  </w:style>
  <w:style w:type="character" w:styleId="IntenseReference">
    <w:name w:val="Intense Reference"/>
    <w:uiPriority w:val="32"/>
    <w:qFormat/>
    <w:rsid w:val="000F2E38"/>
    <w:rPr>
      <w:b/>
      <w:bCs/>
      <w:smallCaps/>
      <w:spacing w:val="5"/>
      <w:sz w:val="22"/>
      <w:szCs w:val="22"/>
      <w:u w:val="single"/>
    </w:rPr>
  </w:style>
  <w:style w:type="character" w:styleId="BookTitle">
    <w:name w:val="Book Title"/>
    <w:uiPriority w:val="33"/>
    <w:qFormat/>
    <w:rsid w:val="000F2E3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F2E38"/>
    <w:pPr>
      <w:outlineLvl w:val="9"/>
    </w:pPr>
  </w:style>
  <w:style w:type="paragraph" w:styleId="BalloonText">
    <w:name w:val="Balloon Text"/>
    <w:basedOn w:val="Normal"/>
    <w:link w:val="BalloonTextChar"/>
    <w:uiPriority w:val="99"/>
    <w:semiHidden/>
    <w:unhideWhenUsed/>
    <w:rsid w:val="00176D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D54"/>
    <w:rPr>
      <w:rFonts w:ascii="Segoe UI" w:hAnsi="Segoe UI" w:cs="Segoe UI"/>
      <w:sz w:val="18"/>
      <w:szCs w:val="18"/>
    </w:rPr>
  </w:style>
  <w:style w:type="paragraph" w:styleId="Header">
    <w:name w:val="header"/>
    <w:basedOn w:val="Normal"/>
    <w:link w:val="HeaderChar"/>
    <w:uiPriority w:val="99"/>
    <w:unhideWhenUsed/>
    <w:rsid w:val="00132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9D8"/>
  </w:style>
  <w:style w:type="paragraph" w:styleId="Footer">
    <w:name w:val="footer"/>
    <w:basedOn w:val="Normal"/>
    <w:link w:val="FooterChar"/>
    <w:uiPriority w:val="99"/>
    <w:unhideWhenUsed/>
    <w:rsid w:val="00132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9D8"/>
  </w:style>
  <w:style w:type="character" w:styleId="Hyperlink">
    <w:name w:val="Hyperlink"/>
    <w:basedOn w:val="DefaultParagraphFont"/>
    <w:uiPriority w:val="99"/>
    <w:unhideWhenUsed/>
    <w:rsid w:val="00986E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881113">
      <w:bodyDiv w:val="1"/>
      <w:marLeft w:val="0"/>
      <w:marRight w:val="0"/>
      <w:marTop w:val="0"/>
      <w:marBottom w:val="0"/>
      <w:divBdr>
        <w:top w:val="none" w:sz="0" w:space="0" w:color="auto"/>
        <w:left w:val="none" w:sz="0" w:space="0" w:color="auto"/>
        <w:bottom w:val="none" w:sz="0" w:space="0" w:color="auto"/>
        <w:right w:val="none" w:sz="0" w:space="0" w:color="auto"/>
      </w:divBdr>
      <w:divsChild>
        <w:div w:id="166334390">
          <w:marLeft w:val="547"/>
          <w:marRight w:val="0"/>
          <w:marTop w:val="0"/>
          <w:marBottom w:val="0"/>
          <w:divBdr>
            <w:top w:val="none" w:sz="0" w:space="0" w:color="auto"/>
            <w:left w:val="none" w:sz="0" w:space="0" w:color="auto"/>
            <w:bottom w:val="none" w:sz="0" w:space="0" w:color="auto"/>
            <w:right w:val="none" w:sz="0" w:space="0" w:color="auto"/>
          </w:divBdr>
        </w:div>
      </w:divsChild>
    </w:div>
    <w:div w:id="947004202">
      <w:bodyDiv w:val="1"/>
      <w:marLeft w:val="0"/>
      <w:marRight w:val="0"/>
      <w:marTop w:val="0"/>
      <w:marBottom w:val="0"/>
      <w:divBdr>
        <w:top w:val="none" w:sz="0" w:space="0" w:color="auto"/>
        <w:left w:val="none" w:sz="0" w:space="0" w:color="auto"/>
        <w:bottom w:val="none" w:sz="0" w:space="0" w:color="auto"/>
        <w:right w:val="none" w:sz="0" w:space="0" w:color="auto"/>
      </w:divBdr>
      <w:divsChild>
        <w:div w:id="898858922">
          <w:marLeft w:val="547"/>
          <w:marRight w:val="0"/>
          <w:marTop w:val="0"/>
          <w:marBottom w:val="0"/>
          <w:divBdr>
            <w:top w:val="none" w:sz="0" w:space="0" w:color="auto"/>
            <w:left w:val="none" w:sz="0" w:space="0" w:color="auto"/>
            <w:bottom w:val="none" w:sz="0" w:space="0" w:color="auto"/>
            <w:right w:val="none" w:sz="0" w:space="0" w:color="auto"/>
          </w:divBdr>
        </w:div>
      </w:divsChild>
    </w:div>
    <w:div w:id="2072842357">
      <w:bodyDiv w:val="1"/>
      <w:marLeft w:val="0"/>
      <w:marRight w:val="0"/>
      <w:marTop w:val="0"/>
      <w:marBottom w:val="0"/>
      <w:divBdr>
        <w:top w:val="none" w:sz="0" w:space="0" w:color="auto"/>
        <w:left w:val="none" w:sz="0" w:space="0" w:color="auto"/>
        <w:bottom w:val="none" w:sz="0" w:space="0" w:color="auto"/>
        <w:right w:val="none" w:sz="0" w:space="0" w:color="auto"/>
      </w:divBdr>
      <w:divsChild>
        <w:div w:id="4615823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ckard.org/insights/resource/building-capacity-through-cohorts-what-the-packard-foundation-is-lear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eofunders.org/resources/catalyzing-networks-for-social-change-a-funder-s-guide-685" TargetMode="External"/><Relationship Id="rId4" Type="http://schemas.openxmlformats.org/officeDocument/2006/relationships/webSettings" Target="webSettings.xml"/><Relationship Id="rId9" Type="http://schemas.openxmlformats.org/officeDocument/2006/relationships/hyperlink" Target="https://philanthropynewsdigest.org/connections/changing-grant-making-to-change-the-world-reflecting-on-build-s-first-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Rachel Williams</cp:lastModifiedBy>
  <cp:revision>9</cp:revision>
  <dcterms:created xsi:type="dcterms:W3CDTF">2020-10-21T20:30:00Z</dcterms:created>
  <dcterms:modified xsi:type="dcterms:W3CDTF">2020-10-24T00:30:00Z</dcterms:modified>
</cp:coreProperties>
</file>